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91407E" w14:textId="53186751" w:rsidR="006F5FD0" w:rsidRPr="00B33EE6" w:rsidRDefault="006F5FD0">
      <w:pPr>
        <w:jc w:val="center"/>
        <w:rPr>
          <w:rStyle w:val="Strong"/>
          <w:sz w:val="28"/>
          <w:szCs w:val="28"/>
          <w:lang w:val="en-GB"/>
        </w:rPr>
      </w:pPr>
      <w:r w:rsidRPr="00B33EE6">
        <w:rPr>
          <w:b/>
          <w:sz w:val="28"/>
          <w:szCs w:val="28"/>
          <w:lang w:val="en-GB"/>
        </w:rPr>
        <w:t>S</w:t>
      </w:r>
      <w:r w:rsidR="00DE3C11">
        <w:rPr>
          <w:b/>
          <w:sz w:val="28"/>
          <w:szCs w:val="28"/>
          <w:lang w:val="en-GB"/>
        </w:rPr>
        <w:t>UPPLY</w:t>
      </w:r>
      <w:r w:rsidRPr="00B33EE6">
        <w:rPr>
          <w:b/>
          <w:sz w:val="28"/>
          <w:szCs w:val="28"/>
          <w:lang w:val="en-GB"/>
        </w:rPr>
        <w:t xml:space="preserve"> </w:t>
      </w:r>
      <w:r w:rsidR="00FA17FC" w:rsidRPr="00B33EE6">
        <w:rPr>
          <w:b/>
          <w:sz w:val="28"/>
          <w:szCs w:val="28"/>
          <w:lang w:val="en-GB"/>
        </w:rPr>
        <w:t xml:space="preserve">CONTRACT </w:t>
      </w:r>
      <w:r w:rsidRPr="00B33EE6">
        <w:rPr>
          <w:b/>
          <w:sz w:val="28"/>
          <w:szCs w:val="28"/>
          <w:lang w:val="en-GB"/>
        </w:rPr>
        <w:t>NOTICE</w:t>
      </w:r>
    </w:p>
    <w:p w14:paraId="3363FF0F" w14:textId="55561734" w:rsidR="006F5FD0" w:rsidRPr="00762DB7" w:rsidRDefault="007168F2">
      <w:pPr>
        <w:jc w:val="center"/>
        <w:rPr>
          <w:sz w:val="28"/>
          <w:szCs w:val="28"/>
          <w:lang w:val="en-GB"/>
        </w:rPr>
      </w:pPr>
      <w:r w:rsidRPr="00762DB7">
        <w:rPr>
          <w:rStyle w:val="Strong"/>
          <w:sz w:val="28"/>
          <w:szCs w:val="28"/>
          <w:lang w:val="en-GB"/>
        </w:rPr>
        <w:t>Supply of e</w:t>
      </w:r>
      <w:r w:rsidR="00016694" w:rsidRPr="00762DB7">
        <w:rPr>
          <w:rStyle w:val="Strong"/>
          <w:sz w:val="28"/>
          <w:szCs w:val="28"/>
          <w:lang w:val="en-GB"/>
        </w:rPr>
        <w:t>quipment</w:t>
      </w:r>
      <w:r w:rsidR="00C77EB2" w:rsidRPr="00762DB7">
        <w:rPr>
          <w:rStyle w:val="Strong"/>
          <w:sz w:val="28"/>
          <w:szCs w:val="28"/>
          <w:lang w:val="en-GB"/>
        </w:rPr>
        <w:t xml:space="preserve"> </w:t>
      </w:r>
      <w:r w:rsidR="004208F3" w:rsidRPr="004208F3">
        <w:rPr>
          <w:rStyle w:val="Strong"/>
          <w:sz w:val="28"/>
          <w:szCs w:val="28"/>
          <w:lang w:val="en-GB"/>
        </w:rPr>
        <w:t>Data migration and aggregation</w:t>
      </w:r>
      <w:r w:rsidR="004208F3">
        <w:rPr>
          <w:rStyle w:val="Strong"/>
          <w:sz w:val="28"/>
          <w:szCs w:val="28"/>
          <w:lang w:val="en-GB"/>
        </w:rPr>
        <w:t xml:space="preserve"> tool</w:t>
      </w:r>
      <w:r w:rsidR="004208F3" w:rsidRPr="004208F3">
        <w:rPr>
          <w:rStyle w:val="Strong"/>
          <w:sz w:val="28"/>
          <w:szCs w:val="28"/>
          <w:lang w:val="en-GB"/>
        </w:rPr>
        <w:t xml:space="preserve"> and web-portal with digital makerspace and tools</w:t>
      </w:r>
      <w:r w:rsidR="006F5FD0" w:rsidRPr="00762DB7">
        <w:rPr>
          <w:rStyle w:val="Strong"/>
          <w:sz w:val="28"/>
          <w:szCs w:val="28"/>
          <w:lang w:val="en-GB"/>
        </w:rPr>
        <w:br/>
      </w:r>
      <w:r w:rsidR="00350AF8" w:rsidRPr="00762DB7">
        <w:rPr>
          <w:rStyle w:val="Strong"/>
          <w:sz w:val="28"/>
          <w:szCs w:val="28"/>
          <w:lang w:val="en-GB"/>
        </w:rPr>
        <w:t>Location – Senta /North Banat district/Vojvodina/Serbia</w:t>
      </w:r>
    </w:p>
    <w:p w14:paraId="1E3CC1C3" w14:textId="77777777" w:rsidR="00571687" w:rsidRPr="00762DB7" w:rsidRDefault="00571687" w:rsidP="00584BF4">
      <w:pPr>
        <w:ind w:left="709" w:hanging="349"/>
        <w:outlineLvl w:val="0"/>
        <w:rPr>
          <w:rStyle w:val="Strong"/>
          <w:sz w:val="22"/>
          <w:szCs w:val="22"/>
          <w:lang w:val="en-GB"/>
        </w:rPr>
      </w:pPr>
    </w:p>
    <w:p w14:paraId="1BE20B1E" w14:textId="77777777" w:rsidR="006F5FD0" w:rsidRPr="00762DB7" w:rsidRDefault="007727F3" w:rsidP="00584BF4">
      <w:pPr>
        <w:ind w:left="709" w:hanging="349"/>
        <w:outlineLvl w:val="0"/>
        <w:rPr>
          <w:sz w:val="22"/>
          <w:szCs w:val="22"/>
          <w:lang w:val="en-GB"/>
        </w:rPr>
      </w:pPr>
      <w:r w:rsidRPr="00762DB7">
        <w:rPr>
          <w:rStyle w:val="Strong"/>
          <w:sz w:val="22"/>
          <w:szCs w:val="22"/>
          <w:lang w:val="en-GB"/>
        </w:rPr>
        <w:t>1.</w:t>
      </w:r>
      <w:r w:rsidR="00584BF4" w:rsidRPr="00762DB7">
        <w:rPr>
          <w:rStyle w:val="Strong"/>
          <w:sz w:val="22"/>
          <w:szCs w:val="22"/>
          <w:lang w:val="en-GB"/>
        </w:rPr>
        <w:tab/>
      </w:r>
      <w:r w:rsidR="00632BDC" w:rsidRPr="00762DB7">
        <w:rPr>
          <w:rStyle w:val="Strong"/>
          <w:sz w:val="22"/>
          <w:szCs w:val="22"/>
          <w:lang w:val="en-GB"/>
        </w:rPr>
        <w:t>R</w:t>
      </w:r>
      <w:r w:rsidR="006F5FD0" w:rsidRPr="00762DB7">
        <w:rPr>
          <w:rStyle w:val="Strong"/>
          <w:sz w:val="22"/>
          <w:szCs w:val="22"/>
          <w:lang w:val="en-GB"/>
        </w:rPr>
        <w:t>eference</w:t>
      </w:r>
    </w:p>
    <w:p w14:paraId="3FEA1735" w14:textId="736C68D1" w:rsidR="00350AF8" w:rsidRDefault="00350AF8" w:rsidP="00584BF4">
      <w:pPr>
        <w:ind w:left="709" w:hanging="349"/>
        <w:outlineLvl w:val="0"/>
        <w:rPr>
          <w:szCs w:val="28"/>
          <w:lang w:val="en-GB"/>
        </w:rPr>
      </w:pPr>
      <w:r w:rsidRPr="00762DB7">
        <w:rPr>
          <w:szCs w:val="28"/>
          <w:lang w:val="en-GB"/>
        </w:rPr>
        <w:t>RORS00227 – LPSRBVMMI – TD</w:t>
      </w:r>
      <w:r w:rsidR="004208F3">
        <w:rPr>
          <w:szCs w:val="28"/>
          <w:lang w:val="en-GB"/>
        </w:rPr>
        <w:t>02</w:t>
      </w:r>
    </w:p>
    <w:p w14:paraId="7A3797D8" w14:textId="13084920"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107EA506" w:rsidR="006F5FD0" w:rsidRPr="00B33EE6" w:rsidRDefault="00AD1E4D" w:rsidP="00C867B9">
      <w:pPr>
        <w:pStyle w:val="Blockquote"/>
        <w:ind w:left="0"/>
        <w:jc w:val="both"/>
        <w:rPr>
          <w:sz w:val="22"/>
          <w:szCs w:val="22"/>
          <w:lang w:val="en-GB"/>
        </w:rPr>
      </w:pPr>
      <w:r w:rsidRPr="00C502B4">
        <w:rPr>
          <w:sz w:val="22"/>
          <w:szCs w:val="22"/>
          <w:lang w:val="en-GB"/>
        </w:rPr>
        <w:t xml:space="preserve">   Simplified</w:t>
      </w:r>
      <w:r w:rsidR="00584BF4" w:rsidRPr="00B33EE6">
        <w:rPr>
          <w:sz w:val="22"/>
          <w:szCs w:val="22"/>
          <w:lang w:val="en-GB"/>
        </w:rPr>
        <w:t xml:space="preserve"> </w:t>
      </w:r>
    </w:p>
    <w:p w14:paraId="5F51B1AE"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186080FD" w14:textId="77777777" w:rsidR="00350AF8" w:rsidRPr="00457350" w:rsidRDefault="00350AF8" w:rsidP="00350AF8">
      <w:pPr>
        <w:pStyle w:val="PRAGHeading2"/>
        <w:numPr>
          <w:ilvl w:val="0"/>
          <w:numId w:val="0"/>
        </w:numPr>
        <w:ind w:left="357" w:right="357"/>
        <w:rPr>
          <w:sz w:val="22"/>
          <w:szCs w:val="22"/>
          <w:lang w:val="en-GB"/>
        </w:rPr>
      </w:pPr>
      <w:r w:rsidRPr="00457350">
        <w:rPr>
          <w:sz w:val="22"/>
          <w:szCs w:val="22"/>
          <w:lang w:val="en-GB"/>
        </w:rPr>
        <w:t>Interreg IPA Romania Serbia</w:t>
      </w:r>
      <w:r w:rsidRPr="00457350">
        <w:rPr>
          <w:color w:val="000000"/>
          <w:sz w:val="22"/>
          <w:szCs w:val="22"/>
          <w:lang w:val="en-GB"/>
        </w:rPr>
        <w:t xml:space="preserve"> Programme</w:t>
      </w:r>
    </w:p>
    <w:p w14:paraId="797EC4D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0F532635" w14:textId="796B9E41" w:rsidR="00502217" w:rsidRPr="00B33EE6" w:rsidRDefault="00350AF8" w:rsidP="00502217">
      <w:pPr>
        <w:pStyle w:val="Blockquote"/>
        <w:jc w:val="both"/>
        <w:rPr>
          <w:sz w:val="22"/>
          <w:szCs w:val="22"/>
          <w:lang w:val="en-GB"/>
        </w:rPr>
      </w:pPr>
      <w:r>
        <w:rPr>
          <w:rStyle w:val="Emphasis"/>
          <w:i w:val="0"/>
          <w:sz w:val="22"/>
          <w:szCs w:val="22"/>
          <w:lang w:val="en-GB"/>
        </w:rPr>
        <w:t>Subsidy contract for the project Banat Heritage Portal (</w:t>
      </w:r>
      <w:r w:rsidRPr="00350AF8">
        <w:rPr>
          <w:rStyle w:val="Emphasis"/>
          <w:i w:val="0"/>
          <w:sz w:val="22"/>
          <w:szCs w:val="22"/>
          <w:lang w:val="en-GB"/>
        </w:rPr>
        <w:t>RORS00227</w:t>
      </w:r>
      <w:r>
        <w:rPr>
          <w:rStyle w:val="Emphasis"/>
          <w:i w:val="0"/>
          <w:sz w:val="22"/>
          <w:szCs w:val="22"/>
          <w:lang w:val="en-GB"/>
        </w:rPr>
        <w:t>)</w:t>
      </w:r>
    </w:p>
    <w:p w14:paraId="03ED8384"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2F2367E4" w14:textId="77777777" w:rsidR="008A34F7" w:rsidRPr="008A34F7" w:rsidRDefault="008A34F7" w:rsidP="008A34F7">
      <w:pPr>
        <w:ind w:left="709" w:hanging="349"/>
        <w:outlineLvl w:val="0"/>
        <w:rPr>
          <w:sz w:val="22"/>
          <w:szCs w:val="22"/>
        </w:rPr>
      </w:pPr>
      <w:r w:rsidRPr="008A34F7">
        <w:rPr>
          <w:sz w:val="22"/>
          <w:szCs w:val="22"/>
        </w:rPr>
        <w:t xml:space="preserve">Institute for Hungarian Culture in Vojvodina </w:t>
      </w:r>
    </w:p>
    <w:bookmarkStart w:id="0" w:name="_MON_1808563527"/>
    <w:bookmarkEnd w:id="0"/>
    <w:p w14:paraId="4C3587DA" w14:textId="66569847" w:rsidR="008A34F7" w:rsidRPr="00D86E87" w:rsidRDefault="00106643" w:rsidP="008A34F7">
      <w:pPr>
        <w:ind w:left="709" w:hanging="349"/>
        <w:outlineLvl w:val="0"/>
        <w:rPr>
          <w:sz w:val="22"/>
          <w:szCs w:val="22"/>
        </w:rPr>
      </w:pPr>
      <w:r>
        <w:rPr>
          <w:sz w:val="22"/>
          <w:szCs w:val="22"/>
        </w:rPr>
        <w:object w:dxaOrig="9354" w:dyaOrig="1224" w14:anchorId="231CD7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3pt;height:60.75pt" o:ole="">
            <v:imagedata r:id="rId11" o:title=""/>
          </v:shape>
          <o:OLEObject Type="Embed" ProgID="Word.Document.12" ShapeID="_x0000_i1025" DrawAspect="Content" ObjectID="_1808566844" r:id="rId12">
            <o:FieldCodes>\s</o:FieldCodes>
          </o:OLEObject>
        </w:object>
      </w:r>
      <w:r w:rsidR="008A34F7" w:rsidRPr="008A34F7">
        <w:rPr>
          <w:sz w:val="22"/>
          <w:szCs w:val="22"/>
        </w:rPr>
        <w:t>(Zavod za kulturu vojvođanskih Mađara)</w:t>
      </w:r>
      <w:r w:rsidR="008A34F7" w:rsidRPr="00D86E87">
        <w:rPr>
          <w:sz w:val="22"/>
          <w:szCs w:val="22"/>
        </w:rPr>
        <w:t>,</w:t>
      </w:r>
    </w:p>
    <w:p w14:paraId="05CB8CC0" w14:textId="77777777" w:rsidR="008A34F7" w:rsidRPr="00D86E87" w:rsidRDefault="008A34F7" w:rsidP="008A34F7">
      <w:pPr>
        <w:ind w:left="709" w:hanging="349"/>
        <w:outlineLvl w:val="0"/>
        <w:rPr>
          <w:sz w:val="22"/>
          <w:szCs w:val="22"/>
        </w:rPr>
      </w:pPr>
      <w:r w:rsidRPr="00D86E87">
        <w:rPr>
          <w:sz w:val="22"/>
          <w:szCs w:val="22"/>
        </w:rPr>
        <w:t>Poštanska 18.</w:t>
      </w:r>
    </w:p>
    <w:p w14:paraId="4EBA09F1" w14:textId="6CE36841" w:rsidR="008A34F7" w:rsidRPr="00D86E87" w:rsidRDefault="008A34F7" w:rsidP="008A34F7">
      <w:pPr>
        <w:ind w:left="709" w:hanging="349"/>
        <w:outlineLvl w:val="0"/>
        <w:rPr>
          <w:sz w:val="22"/>
          <w:szCs w:val="22"/>
        </w:rPr>
      </w:pPr>
      <w:r w:rsidRPr="00D86E87">
        <w:rPr>
          <w:sz w:val="22"/>
          <w:szCs w:val="22"/>
        </w:rPr>
        <w:t>24420 Senta, Republic of Serbia.</w:t>
      </w:r>
    </w:p>
    <w:p w14:paraId="67F4A905" w14:textId="77777777" w:rsidR="006F5FD0" w:rsidRPr="00B33EE6" w:rsidRDefault="00000000">
      <w:pPr>
        <w:rPr>
          <w:sz w:val="22"/>
          <w:szCs w:val="22"/>
          <w:lang w:val="en-GB"/>
        </w:rPr>
      </w:pPr>
      <w:r>
        <w:rPr>
          <w:snapToGrid/>
          <w:sz w:val="22"/>
          <w:szCs w:val="22"/>
          <w:lang w:val="en-GB"/>
        </w:rPr>
        <w:pict w14:anchorId="589D319E">
          <v:line id="_x0000_s2054" alt="" style="position:absolute;z-index:1;mso-wrap-edited:f;mso-width-percent:0;mso-height-percent:0;mso-width-percent:0;mso-height-percent:0" from="0,12pt" to="468pt,12.05pt" o:allowincell="f" strokecolor="#d4d4d4" strokeweight="1.75pt">
            <v:shadow on="t" origin=",32385f" offset="0,-1pt"/>
          </v:line>
        </w:pic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15C6522D" w14:textId="77777777" w:rsidR="00D86E87" w:rsidRDefault="00D86E87" w:rsidP="00D86E87">
      <w:pPr>
        <w:pStyle w:val="Blockquote"/>
        <w:jc w:val="both"/>
        <w:rPr>
          <w:rStyle w:val="Emphasis"/>
          <w:i w:val="0"/>
          <w:sz w:val="22"/>
          <w:szCs w:val="22"/>
          <w:lang w:val="en-GB"/>
        </w:rPr>
      </w:pPr>
      <w:r w:rsidRPr="00457350">
        <w:rPr>
          <w:rStyle w:val="Emphasis"/>
          <w:i w:val="0"/>
          <w:sz w:val="22"/>
          <w:szCs w:val="22"/>
          <w:lang w:val="en-GB"/>
        </w:rPr>
        <w:t>unit-price</w:t>
      </w:r>
    </w:p>
    <w:p w14:paraId="31720D58" w14:textId="77777777" w:rsidR="00205B01" w:rsidRDefault="00205B01" w:rsidP="00D86E87">
      <w:pPr>
        <w:pStyle w:val="Blockquote"/>
        <w:jc w:val="both"/>
        <w:rPr>
          <w:rStyle w:val="Emphasis"/>
          <w:i w:val="0"/>
          <w:sz w:val="22"/>
          <w:szCs w:val="22"/>
          <w:lang w:val="en-GB"/>
        </w:rPr>
      </w:pPr>
    </w:p>
    <w:p w14:paraId="08C64044" w14:textId="77777777" w:rsidR="00205B01" w:rsidRDefault="00205B01" w:rsidP="00D86E87">
      <w:pPr>
        <w:pStyle w:val="Blockquote"/>
        <w:jc w:val="both"/>
        <w:rPr>
          <w:rStyle w:val="Emphasis"/>
          <w:i w:val="0"/>
          <w:sz w:val="22"/>
          <w:szCs w:val="22"/>
          <w:lang w:val="en-GB"/>
        </w:rPr>
      </w:pPr>
    </w:p>
    <w:p w14:paraId="57D75962" w14:textId="77777777" w:rsidR="00205B01" w:rsidRDefault="00205B01" w:rsidP="00D86E87">
      <w:pPr>
        <w:pStyle w:val="Blockquote"/>
        <w:jc w:val="both"/>
        <w:rPr>
          <w:rStyle w:val="Emphasis"/>
          <w:i w:val="0"/>
          <w:sz w:val="22"/>
          <w:szCs w:val="22"/>
          <w:lang w:val="en-GB"/>
        </w:rPr>
      </w:pPr>
    </w:p>
    <w:p w14:paraId="68D388FA" w14:textId="77777777" w:rsidR="00205B01" w:rsidRDefault="00205B01" w:rsidP="00D86E87">
      <w:pPr>
        <w:pStyle w:val="Blockquote"/>
        <w:jc w:val="both"/>
        <w:rPr>
          <w:rStyle w:val="Emphasis"/>
          <w:i w:val="0"/>
          <w:sz w:val="22"/>
          <w:szCs w:val="22"/>
          <w:lang w:val="en-GB"/>
        </w:rPr>
      </w:pPr>
    </w:p>
    <w:p w14:paraId="6768EA71" w14:textId="77777777" w:rsidR="00205B01" w:rsidRPr="00457350" w:rsidRDefault="00205B01" w:rsidP="00D86E87">
      <w:pPr>
        <w:pStyle w:val="Blockquote"/>
        <w:jc w:val="both"/>
        <w:rPr>
          <w:rStyle w:val="Emphasis"/>
        </w:rPr>
      </w:pPr>
    </w:p>
    <w:p w14:paraId="1879C6BF"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040720D4" w14:textId="77777777" w:rsidR="00F6783F" w:rsidRPr="00B33EE6" w:rsidRDefault="00F6783F" w:rsidP="00F6783F">
      <w:pPr>
        <w:pStyle w:val="Blockquote"/>
        <w:rPr>
          <w:i/>
          <w:sz w:val="22"/>
          <w:szCs w:val="22"/>
          <w:lang w:val="en-GB"/>
        </w:rPr>
      </w:pPr>
      <w:r>
        <w:rPr>
          <w:rStyle w:val="Emphasis"/>
          <w:i w:val="0"/>
          <w:sz w:val="22"/>
          <w:szCs w:val="22"/>
          <w:lang w:val="en-GB"/>
        </w:rPr>
        <w:t>The Tenderer/supplier has to deliver the following articles/equipment to the premises of the Contracting Authority</w:t>
      </w:r>
      <w:r>
        <w:rPr>
          <w:rStyle w:val="Emphasis"/>
          <w:i w:val="0"/>
          <w:sz w:val="22"/>
          <w:szCs w:val="22"/>
          <w:lang w:val="en-GB"/>
        </w:rPr>
        <w:br/>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4862"/>
        <w:gridCol w:w="2757"/>
      </w:tblGrid>
      <w:tr w:rsidR="00762DB7" w:rsidRPr="00932E5D" w14:paraId="6C8E4BBF" w14:textId="77777777" w:rsidTr="00B8054E">
        <w:tc>
          <w:tcPr>
            <w:tcW w:w="675" w:type="dxa"/>
            <w:shd w:val="clear" w:color="auto" w:fill="auto"/>
          </w:tcPr>
          <w:p w14:paraId="592368AF" w14:textId="77777777" w:rsidR="00762DB7" w:rsidRPr="00932E5D" w:rsidRDefault="00762DB7" w:rsidP="00B8054E">
            <w:pPr>
              <w:spacing w:before="0" w:after="0"/>
              <w:jc w:val="both"/>
              <w:rPr>
                <w:sz w:val="22"/>
                <w:szCs w:val="22"/>
              </w:rPr>
            </w:pPr>
            <w:bookmarkStart w:id="1" w:name="_Hlk197690709"/>
            <w:r w:rsidRPr="00932E5D">
              <w:rPr>
                <w:sz w:val="22"/>
                <w:szCs w:val="22"/>
              </w:rPr>
              <w:t>No.</w:t>
            </w:r>
          </w:p>
        </w:tc>
        <w:tc>
          <w:tcPr>
            <w:tcW w:w="4862" w:type="dxa"/>
            <w:shd w:val="clear" w:color="auto" w:fill="auto"/>
          </w:tcPr>
          <w:p w14:paraId="3E73E8AD" w14:textId="77777777" w:rsidR="00762DB7" w:rsidRPr="00932E5D" w:rsidRDefault="00762DB7" w:rsidP="00B8054E">
            <w:pPr>
              <w:pStyle w:val="ListParagraph"/>
              <w:spacing w:after="160" w:line="278" w:lineRule="auto"/>
              <w:ind w:left="0"/>
              <w:contextualSpacing/>
              <w:rPr>
                <w:sz w:val="22"/>
                <w:szCs w:val="22"/>
              </w:rPr>
            </w:pPr>
            <w:r w:rsidRPr="00932E5D">
              <w:rPr>
                <w:sz w:val="22"/>
                <w:szCs w:val="22"/>
              </w:rPr>
              <w:t>Name of supply</w:t>
            </w:r>
          </w:p>
        </w:tc>
        <w:tc>
          <w:tcPr>
            <w:tcW w:w="2757" w:type="dxa"/>
            <w:shd w:val="clear" w:color="auto" w:fill="auto"/>
          </w:tcPr>
          <w:p w14:paraId="7FB20C49" w14:textId="77777777" w:rsidR="00762DB7" w:rsidRPr="00932E5D" w:rsidRDefault="00762DB7" w:rsidP="00B8054E">
            <w:pPr>
              <w:spacing w:before="0" w:after="0"/>
              <w:ind w:right="139"/>
              <w:jc w:val="center"/>
              <w:rPr>
                <w:sz w:val="22"/>
                <w:szCs w:val="22"/>
              </w:rPr>
            </w:pPr>
            <w:r w:rsidRPr="00932E5D">
              <w:rPr>
                <w:sz w:val="22"/>
                <w:szCs w:val="22"/>
              </w:rPr>
              <w:t>Pieces required</w:t>
            </w:r>
          </w:p>
        </w:tc>
      </w:tr>
      <w:tr w:rsidR="00762DB7" w:rsidRPr="00932E5D" w14:paraId="6BB37B3B" w14:textId="77777777" w:rsidTr="00B8054E">
        <w:tc>
          <w:tcPr>
            <w:tcW w:w="675" w:type="dxa"/>
            <w:shd w:val="clear" w:color="auto" w:fill="auto"/>
          </w:tcPr>
          <w:p w14:paraId="29FCC8B6" w14:textId="77777777" w:rsidR="00762DB7" w:rsidRPr="00932E5D" w:rsidRDefault="00762DB7" w:rsidP="00B8054E">
            <w:pPr>
              <w:spacing w:before="0" w:after="0"/>
              <w:jc w:val="both"/>
              <w:rPr>
                <w:sz w:val="22"/>
                <w:szCs w:val="22"/>
              </w:rPr>
            </w:pPr>
            <w:r w:rsidRPr="00932E5D">
              <w:rPr>
                <w:sz w:val="22"/>
                <w:szCs w:val="22"/>
              </w:rPr>
              <w:t>1</w:t>
            </w:r>
          </w:p>
        </w:tc>
        <w:tc>
          <w:tcPr>
            <w:tcW w:w="4862" w:type="dxa"/>
            <w:shd w:val="clear" w:color="auto" w:fill="auto"/>
          </w:tcPr>
          <w:p w14:paraId="61ACBE5D" w14:textId="3BB40B72" w:rsidR="00762DB7" w:rsidRPr="00932E5D" w:rsidRDefault="00932E5D" w:rsidP="00B8054E">
            <w:pPr>
              <w:pStyle w:val="ListParagraph"/>
              <w:spacing w:after="160" w:line="278" w:lineRule="auto"/>
              <w:ind w:left="0"/>
              <w:contextualSpacing/>
              <w:rPr>
                <w:sz w:val="22"/>
                <w:szCs w:val="22"/>
              </w:rPr>
            </w:pPr>
            <w:r w:rsidRPr="00932E5D">
              <w:rPr>
                <w:sz w:val="22"/>
                <w:szCs w:val="22"/>
              </w:rPr>
              <w:t>Data migration and aggregation</w:t>
            </w:r>
            <w:r w:rsidR="00CD23E0">
              <w:rPr>
                <w:sz w:val="22"/>
                <w:szCs w:val="22"/>
              </w:rPr>
              <w:t xml:space="preserve"> tool</w:t>
            </w:r>
          </w:p>
        </w:tc>
        <w:tc>
          <w:tcPr>
            <w:tcW w:w="2757" w:type="dxa"/>
            <w:shd w:val="clear" w:color="auto" w:fill="auto"/>
          </w:tcPr>
          <w:p w14:paraId="3B0FE43B" w14:textId="77777777" w:rsidR="00762DB7" w:rsidRPr="00932E5D" w:rsidRDefault="00762DB7" w:rsidP="00B8054E">
            <w:pPr>
              <w:spacing w:before="0" w:after="0"/>
              <w:ind w:right="139"/>
              <w:jc w:val="center"/>
              <w:rPr>
                <w:sz w:val="22"/>
                <w:szCs w:val="22"/>
              </w:rPr>
            </w:pPr>
            <w:r w:rsidRPr="00932E5D">
              <w:rPr>
                <w:sz w:val="22"/>
                <w:szCs w:val="22"/>
              </w:rPr>
              <w:t>1</w:t>
            </w:r>
          </w:p>
        </w:tc>
      </w:tr>
      <w:tr w:rsidR="00762DB7" w:rsidRPr="00932E5D" w14:paraId="5E7AB958" w14:textId="77777777" w:rsidTr="00B8054E">
        <w:tc>
          <w:tcPr>
            <w:tcW w:w="675" w:type="dxa"/>
            <w:shd w:val="clear" w:color="auto" w:fill="auto"/>
          </w:tcPr>
          <w:p w14:paraId="5F8B716E" w14:textId="77777777" w:rsidR="00762DB7" w:rsidRPr="00932E5D" w:rsidRDefault="00762DB7" w:rsidP="00B8054E">
            <w:pPr>
              <w:spacing w:before="0" w:after="0"/>
              <w:jc w:val="both"/>
              <w:rPr>
                <w:sz w:val="22"/>
                <w:szCs w:val="22"/>
              </w:rPr>
            </w:pPr>
            <w:r w:rsidRPr="00932E5D">
              <w:rPr>
                <w:sz w:val="22"/>
                <w:szCs w:val="22"/>
              </w:rPr>
              <w:t>2</w:t>
            </w:r>
          </w:p>
        </w:tc>
        <w:tc>
          <w:tcPr>
            <w:tcW w:w="4862" w:type="dxa"/>
            <w:shd w:val="clear" w:color="auto" w:fill="auto"/>
          </w:tcPr>
          <w:p w14:paraId="178D8ACD" w14:textId="71B7BBA8" w:rsidR="00762DB7" w:rsidRPr="00932E5D" w:rsidRDefault="00E34968" w:rsidP="00B8054E">
            <w:pPr>
              <w:spacing w:before="0" w:after="0"/>
              <w:jc w:val="both"/>
              <w:rPr>
                <w:sz w:val="22"/>
                <w:szCs w:val="22"/>
              </w:rPr>
            </w:pPr>
            <w:r>
              <w:rPr>
                <w:rStyle w:val="Strong"/>
                <w:b w:val="0"/>
                <w:sz w:val="22"/>
                <w:szCs w:val="22"/>
                <w:lang w:val="hu-HU"/>
              </w:rPr>
              <w:t>W</w:t>
            </w:r>
            <w:r w:rsidR="00932E5D" w:rsidRPr="00932E5D">
              <w:rPr>
                <w:rStyle w:val="Strong"/>
                <w:b w:val="0"/>
                <w:sz w:val="22"/>
                <w:szCs w:val="22"/>
                <w:lang w:val="en-GB"/>
              </w:rPr>
              <w:t>eb-portal with digital makerspace and tools</w:t>
            </w:r>
            <w:r w:rsidR="00932E5D" w:rsidRPr="00932E5D">
              <w:rPr>
                <w:rStyle w:val="Strong"/>
                <w:b w:val="0"/>
                <w:sz w:val="22"/>
                <w:szCs w:val="22"/>
                <w:lang w:val="en-GB"/>
              </w:rPr>
              <w:br/>
            </w:r>
          </w:p>
        </w:tc>
        <w:tc>
          <w:tcPr>
            <w:tcW w:w="2757" w:type="dxa"/>
            <w:shd w:val="clear" w:color="auto" w:fill="auto"/>
          </w:tcPr>
          <w:p w14:paraId="2C128B67" w14:textId="77777777" w:rsidR="00762DB7" w:rsidRPr="00932E5D" w:rsidRDefault="00762DB7" w:rsidP="00B8054E">
            <w:pPr>
              <w:spacing w:before="0" w:after="0"/>
              <w:ind w:right="139"/>
              <w:jc w:val="center"/>
              <w:rPr>
                <w:sz w:val="22"/>
                <w:szCs w:val="22"/>
              </w:rPr>
            </w:pPr>
            <w:r w:rsidRPr="00932E5D">
              <w:rPr>
                <w:sz w:val="22"/>
                <w:szCs w:val="22"/>
              </w:rPr>
              <w:t>1</w:t>
            </w:r>
          </w:p>
        </w:tc>
      </w:tr>
      <w:bookmarkEnd w:id="1"/>
    </w:tbl>
    <w:p w14:paraId="043442B5" w14:textId="77777777" w:rsidR="00F6783F" w:rsidRDefault="00F6783F">
      <w:pPr>
        <w:pStyle w:val="Blockquote"/>
        <w:jc w:val="both"/>
        <w:rPr>
          <w:b/>
          <w:bCs/>
          <w:sz w:val="22"/>
        </w:rPr>
      </w:pPr>
    </w:p>
    <w:p w14:paraId="6BF85CDB" w14:textId="738770D6" w:rsidR="00F6783F" w:rsidRPr="00B33EE6" w:rsidRDefault="00F6783F" w:rsidP="00F6783F">
      <w:pPr>
        <w:pStyle w:val="Blockquote"/>
        <w:jc w:val="both"/>
        <w:rPr>
          <w:i/>
          <w:sz w:val="22"/>
          <w:szCs w:val="22"/>
          <w:lang w:val="en-GB"/>
        </w:rPr>
      </w:pPr>
      <w:r w:rsidRPr="00F6783F">
        <w:rPr>
          <w:b/>
          <w:bCs/>
          <w:sz w:val="22"/>
        </w:rPr>
        <w:t>With delivery, unloading, commissioning (including training.</w:t>
      </w:r>
    </w:p>
    <w:p w14:paraId="75E79BC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51502A56" w14:textId="20DBA1A6" w:rsidR="00E9047D" w:rsidRPr="00B33EE6" w:rsidRDefault="00364564" w:rsidP="00584BF4">
      <w:pPr>
        <w:ind w:left="709" w:hanging="349"/>
        <w:outlineLvl w:val="0"/>
        <w:rPr>
          <w:rStyle w:val="Emphasis"/>
          <w:i w:val="0"/>
          <w:sz w:val="22"/>
          <w:szCs w:val="22"/>
          <w:lang w:val="en-GB"/>
        </w:rPr>
      </w:pPr>
      <w:r w:rsidRPr="00762DB7">
        <w:rPr>
          <w:rStyle w:val="Emphasis"/>
          <w:i w:val="0"/>
          <w:sz w:val="22"/>
          <w:szCs w:val="22"/>
          <w:lang w:val="en-GB"/>
        </w:rPr>
        <w:t>O</w:t>
      </w:r>
      <w:r w:rsidR="00DA0ABA" w:rsidRPr="00762DB7">
        <w:rPr>
          <w:rStyle w:val="Emphasis"/>
          <w:i w:val="0"/>
          <w:sz w:val="22"/>
          <w:szCs w:val="22"/>
          <w:lang w:val="en-GB"/>
        </w:rPr>
        <w:t>ne lot only</w:t>
      </w:r>
    </w:p>
    <w:p w14:paraId="39BB965D" w14:textId="499825D3" w:rsidR="00971962" w:rsidRPr="00B33EE6" w:rsidRDefault="006F5FD0" w:rsidP="008660AD">
      <w:pPr>
        <w:ind w:left="709" w:hanging="349"/>
        <w:outlineLvl w:val="0"/>
        <w:rPr>
          <w:sz w:val="22"/>
          <w:szCs w:val="22"/>
          <w:highlight w:val="yellow"/>
          <w:lang w:val="en-GB"/>
        </w:rPr>
      </w:pPr>
      <w:r w:rsidRPr="00B33EE6">
        <w:rPr>
          <w:rStyle w:val="Strong"/>
          <w:sz w:val="22"/>
          <w:szCs w:val="22"/>
          <w:lang w:val="en-GB"/>
        </w:rPr>
        <w:t xml:space="preserve">9. </w:t>
      </w:r>
      <w:r w:rsidR="00584BF4" w:rsidRPr="00B33EE6">
        <w:rPr>
          <w:rStyle w:val="Strong"/>
          <w:sz w:val="22"/>
          <w:szCs w:val="22"/>
          <w:lang w:val="en-GB"/>
        </w:rPr>
        <w:tab/>
      </w:r>
    </w:p>
    <w:p w14:paraId="6C843D95" w14:textId="77777777" w:rsidR="006F5FD0" w:rsidRPr="00B33EE6" w:rsidRDefault="00000000">
      <w:pPr>
        <w:pStyle w:val="Blockquote"/>
        <w:jc w:val="both"/>
        <w:rPr>
          <w:sz w:val="22"/>
          <w:szCs w:val="22"/>
          <w:lang w:val="en-GB"/>
        </w:rPr>
      </w:pPr>
      <w:r>
        <w:rPr>
          <w:snapToGrid/>
          <w:sz w:val="22"/>
          <w:szCs w:val="22"/>
          <w:lang w:val="en-GB"/>
        </w:rPr>
        <w:pict w14:anchorId="21854D6C">
          <v:line id="_x0000_s2053" alt="" style="position:absolute;left:0;text-align:left;z-index:2;mso-wrap-edited:f;mso-width-percent:0;mso-height-percent:0;mso-width-percent:0;mso-height-percent:0" from="-1.05pt,17.55pt" to="466.95pt,17.6pt" o:allowincell="f" strokecolor="#d4d4d4" strokeweight="1.75pt">
            <v:shadow on="t" origin=",32385f" offset="0,-1pt"/>
          </v:line>
        </w:pict>
      </w:r>
    </w:p>
    <w:p w14:paraId="283B6821"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2CB5FCF7" w14:textId="4EFF6DAD" w:rsidR="00B9793F" w:rsidRDefault="00B9793F" w:rsidP="008660AD">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14:paraId="22BEEB94" w14:textId="77777777" w:rsidR="002C1FBB" w:rsidRDefault="002C1FBB" w:rsidP="008660AD">
      <w:pPr>
        <w:pStyle w:val="FootnoteText"/>
        <w:ind w:firstLine="426"/>
        <w:rPr>
          <w:rStyle w:val="Strong"/>
          <w:sz w:val="22"/>
          <w:szCs w:val="22"/>
          <w:lang w:val="en-GB"/>
        </w:rPr>
      </w:pPr>
    </w:p>
    <w:p w14:paraId="3131C6C3" w14:textId="77777777" w:rsidR="002C1FBB" w:rsidRPr="00762DB7" w:rsidRDefault="002C1FBB" w:rsidP="002C1FBB">
      <w:pPr>
        <w:pStyle w:val="paragraph"/>
        <w:numPr>
          <w:ilvl w:val="0"/>
          <w:numId w:val="47"/>
        </w:numPr>
        <w:spacing w:before="0" w:beforeAutospacing="0" w:after="0" w:afterAutospacing="0"/>
        <w:jc w:val="both"/>
        <w:textAlignment w:val="baseline"/>
        <w:rPr>
          <w:iCs/>
          <w:sz w:val="22"/>
          <w:szCs w:val="22"/>
          <w:lang w:val="en-IE"/>
        </w:rPr>
      </w:pPr>
      <w:r w:rsidRPr="00762DB7">
        <w:rPr>
          <w:iCs/>
          <w:sz w:val="22"/>
          <w:szCs w:val="22"/>
          <w:lang w:val="en-IE"/>
        </w:rPr>
        <w:t xml:space="preserve">The legal basis of this procedure is </w:t>
      </w:r>
      <w:hyperlink r:id="rId13" w:history="1">
        <w:r w:rsidRPr="00762DB7">
          <w:rPr>
            <w:sz w:val="22"/>
            <w:szCs w:val="22"/>
          </w:rPr>
          <w:t>REGULATION (EU) 2021/1529 OF THE EUROPEAN PARLIAMENT AND OF THE COUNCIL of 15 September 2021 establishing the Instrument for Pre-Accession assistance (IPA III)</w:t>
        </w:r>
      </w:hyperlink>
    </w:p>
    <w:p w14:paraId="37CDFE40" w14:textId="77777777" w:rsidR="002C1FBB" w:rsidRPr="00762DB7" w:rsidRDefault="002C1FBB" w:rsidP="002C1FBB">
      <w:pPr>
        <w:pStyle w:val="paragraph"/>
        <w:spacing w:before="0" w:beforeAutospacing="0" w:after="0" w:afterAutospacing="0"/>
        <w:ind w:left="1146"/>
        <w:jc w:val="both"/>
        <w:textAlignment w:val="baseline"/>
        <w:rPr>
          <w:iCs/>
          <w:sz w:val="22"/>
          <w:szCs w:val="22"/>
          <w:lang w:val="en-IE"/>
        </w:rPr>
      </w:pPr>
    </w:p>
    <w:p w14:paraId="5DA2F9DC" w14:textId="77777777" w:rsidR="002C1FBB" w:rsidRPr="00762DB7" w:rsidRDefault="002C1FBB" w:rsidP="002C1FBB">
      <w:pPr>
        <w:widowControl/>
        <w:autoSpaceDE w:val="0"/>
        <w:autoSpaceDN w:val="0"/>
        <w:adjustRightInd w:val="0"/>
        <w:spacing w:before="0" w:after="0"/>
        <w:ind w:left="1134"/>
        <w:jc w:val="both"/>
        <w:rPr>
          <w:snapToGrid/>
          <w:sz w:val="22"/>
          <w:szCs w:val="22"/>
        </w:rPr>
      </w:pPr>
      <w:r w:rsidRPr="00762DB7">
        <w:rPr>
          <w:b/>
          <w:bCs/>
          <w:i/>
          <w:iCs/>
          <w:snapToGrid/>
          <w:sz w:val="22"/>
          <w:szCs w:val="22"/>
        </w:rPr>
        <w:t xml:space="preserve">Rule of Nationality: </w:t>
      </w:r>
      <w:r w:rsidRPr="00762DB7">
        <w:rPr>
          <w:snapToGrid/>
          <w:sz w:val="22"/>
          <w:szCs w:val="22"/>
        </w:rPr>
        <w:t>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14:paraId="049D4056" w14:textId="77777777" w:rsidR="002C1FBB" w:rsidRPr="00762DB7" w:rsidRDefault="002C1FBB" w:rsidP="002C1FBB">
      <w:pPr>
        <w:widowControl/>
        <w:autoSpaceDE w:val="0"/>
        <w:autoSpaceDN w:val="0"/>
        <w:adjustRightInd w:val="0"/>
        <w:spacing w:before="0" w:after="0"/>
        <w:ind w:left="1134"/>
        <w:jc w:val="both"/>
        <w:rPr>
          <w:snapToGrid/>
          <w:sz w:val="22"/>
          <w:szCs w:val="22"/>
        </w:rPr>
      </w:pPr>
    </w:p>
    <w:p w14:paraId="505850A7" w14:textId="77777777" w:rsidR="002C1FBB" w:rsidRPr="00762DB7" w:rsidRDefault="002C1FBB" w:rsidP="002C1FBB">
      <w:pPr>
        <w:widowControl/>
        <w:autoSpaceDE w:val="0"/>
        <w:autoSpaceDN w:val="0"/>
        <w:adjustRightInd w:val="0"/>
        <w:spacing w:before="0" w:after="0"/>
        <w:ind w:left="1134"/>
        <w:jc w:val="both"/>
        <w:rPr>
          <w:snapToGrid/>
          <w:sz w:val="22"/>
          <w:szCs w:val="22"/>
        </w:rPr>
      </w:pPr>
      <w:r w:rsidRPr="00762DB7">
        <w:rPr>
          <w:snapToGrid/>
          <w:sz w:val="22"/>
          <w:szCs w:val="22"/>
        </w:rPr>
        <w:t>Participation in the award of procurement contracts, grants and other award procedures for actions financed under the for IPA III shall be open to international and regional organisations and to all other legal entities who are nationals of and, in the case of legal persons, who are also effectively established in, the following countries or territories:</w:t>
      </w:r>
    </w:p>
    <w:p w14:paraId="384A9121" w14:textId="77777777" w:rsidR="002C1FBB" w:rsidRPr="00762DB7" w:rsidRDefault="002C1FBB" w:rsidP="002C1FBB">
      <w:pPr>
        <w:widowControl/>
        <w:autoSpaceDE w:val="0"/>
        <w:autoSpaceDN w:val="0"/>
        <w:adjustRightInd w:val="0"/>
        <w:spacing w:before="0" w:after="0"/>
        <w:ind w:left="1134"/>
        <w:jc w:val="both"/>
        <w:rPr>
          <w:snapToGrid/>
          <w:sz w:val="22"/>
          <w:szCs w:val="22"/>
        </w:rPr>
      </w:pPr>
    </w:p>
    <w:p w14:paraId="671AE770" w14:textId="77777777" w:rsidR="002C1FBB" w:rsidRPr="00762DB7" w:rsidRDefault="002C1FBB" w:rsidP="002C1FBB">
      <w:pPr>
        <w:widowControl/>
        <w:autoSpaceDE w:val="0"/>
        <w:autoSpaceDN w:val="0"/>
        <w:adjustRightInd w:val="0"/>
        <w:spacing w:before="0" w:after="0"/>
        <w:ind w:left="1134" w:firstLine="426"/>
        <w:jc w:val="both"/>
        <w:rPr>
          <w:snapToGrid/>
          <w:sz w:val="22"/>
          <w:szCs w:val="22"/>
        </w:rPr>
      </w:pPr>
      <w:r w:rsidRPr="00762DB7">
        <w:rPr>
          <w:snapToGrid/>
          <w:sz w:val="22"/>
          <w:szCs w:val="22"/>
        </w:rPr>
        <w:t>a) EU Member States</w:t>
      </w:r>
    </w:p>
    <w:p w14:paraId="0E2DAC8D" w14:textId="77777777" w:rsidR="002C1FBB" w:rsidRPr="00762DB7" w:rsidRDefault="002C1FBB" w:rsidP="002C1FBB">
      <w:pPr>
        <w:widowControl/>
        <w:autoSpaceDE w:val="0"/>
        <w:autoSpaceDN w:val="0"/>
        <w:adjustRightInd w:val="0"/>
        <w:spacing w:before="0" w:after="0"/>
        <w:ind w:left="1134" w:firstLine="426"/>
        <w:jc w:val="both"/>
        <w:rPr>
          <w:snapToGrid/>
          <w:sz w:val="22"/>
          <w:szCs w:val="22"/>
        </w:rPr>
      </w:pPr>
      <w:r w:rsidRPr="00762DB7">
        <w:rPr>
          <w:snapToGrid/>
          <w:sz w:val="22"/>
          <w:szCs w:val="22"/>
        </w:rPr>
        <w:t>b) Beneficiaries listed in the Annex I of the IPA III</w:t>
      </w:r>
    </w:p>
    <w:p w14:paraId="0941502D" w14:textId="77777777" w:rsidR="002C1FBB" w:rsidRPr="00762DB7" w:rsidRDefault="002C1FBB" w:rsidP="002C1FBB">
      <w:pPr>
        <w:widowControl/>
        <w:autoSpaceDE w:val="0"/>
        <w:autoSpaceDN w:val="0"/>
        <w:adjustRightInd w:val="0"/>
        <w:spacing w:before="0" w:after="0"/>
        <w:ind w:left="1134" w:firstLine="426"/>
        <w:jc w:val="both"/>
        <w:rPr>
          <w:snapToGrid/>
          <w:sz w:val="22"/>
          <w:szCs w:val="22"/>
        </w:rPr>
      </w:pPr>
      <w:r w:rsidRPr="00762DB7">
        <w:rPr>
          <w:snapToGrid/>
          <w:sz w:val="22"/>
          <w:szCs w:val="22"/>
        </w:rPr>
        <w:t>c) European Economic Area</w:t>
      </w:r>
    </w:p>
    <w:p w14:paraId="29AD959B" w14:textId="77777777" w:rsidR="002C1FBB" w:rsidRPr="00762DB7" w:rsidRDefault="002C1FBB" w:rsidP="002C1FBB">
      <w:pPr>
        <w:widowControl/>
        <w:autoSpaceDE w:val="0"/>
        <w:autoSpaceDN w:val="0"/>
        <w:adjustRightInd w:val="0"/>
        <w:spacing w:before="0" w:after="0"/>
        <w:ind w:left="1560"/>
        <w:jc w:val="both"/>
        <w:rPr>
          <w:rFonts w:ascii="Segoe UI" w:hAnsi="Segoe UI" w:cs="Segoe UI"/>
          <w:sz w:val="22"/>
          <w:szCs w:val="22"/>
          <w:lang w:val="en-GB"/>
        </w:rPr>
      </w:pPr>
      <w:r w:rsidRPr="00762DB7">
        <w:rPr>
          <w:sz w:val="22"/>
          <w:szCs w:val="22"/>
        </w:rPr>
        <w:t xml:space="preserve">d) </w:t>
      </w:r>
      <w:r w:rsidRPr="00762DB7">
        <w:rPr>
          <w:snapToGrid/>
          <w:sz w:val="22"/>
          <w:szCs w:val="22"/>
        </w:rPr>
        <w:t>Neighbourhood partner</w:t>
      </w:r>
      <w:r w:rsidRPr="00762DB7">
        <w:rPr>
          <w:sz w:val="22"/>
          <w:szCs w:val="22"/>
        </w:rPr>
        <w:t xml:space="preserve"> countries and territories covered by NDICI (annex I of NDICI)</w:t>
      </w:r>
    </w:p>
    <w:p w14:paraId="03512B30" w14:textId="77777777" w:rsidR="002C1FBB" w:rsidRPr="00762DB7" w:rsidRDefault="002C1FBB" w:rsidP="002C1FBB">
      <w:pPr>
        <w:widowControl/>
        <w:autoSpaceDE w:val="0"/>
        <w:autoSpaceDN w:val="0"/>
        <w:adjustRightInd w:val="0"/>
        <w:spacing w:before="0" w:after="0"/>
        <w:ind w:left="1560"/>
        <w:jc w:val="both"/>
        <w:rPr>
          <w:snapToGrid/>
          <w:sz w:val="22"/>
          <w:szCs w:val="22"/>
        </w:rPr>
      </w:pPr>
      <w:r w:rsidRPr="00762DB7">
        <w:rPr>
          <w:snapToGrid/>
          <w:sz w:val="22"/>
          <w:szCs w:val="22"/>
        </w:rPr>
        <w:t>e) Countries for which Commission has adopted a decision approving the request for reciprocal access to external assistance. Currently there are no such countries.</w:t>
      </w:r>
    </w:p>
    <w:p w14:paraId="5BF275AD" w14:textId="77777777" w:rsidR="002C1FBB" w:rsidRPr="00762DB7" w:rsidRDefault="002C1FBB" w:rsidP="002C1FBB">
      <w:pPr>
        <w:widowControl/>
        <w:autoSpaceDE w:val="0"/>
        <w:autoSpaceDN w:val="0"/>
        <w:adjustRightInd w:val="0"/>
        <w:spacing w:before="0" w:after="0"/>
        <w:ind w:left="1560"/>
        <w:jc w:val="both"/>
        <w:rPr>
          <w:snapToGrid/>
          <w:sz w:val="22"/>
          <w:szCs w:val="22"/>
        </w:rPr>
      </w:pPr>
      <w:r w:rsidRPr="00762DB7">
        <w:rPr>
          <w:snapToGrid/>
          <w:sz w:val="22"/>
          <w:szCs w:val="22"/>
        </w:rPr>
        <w:lastRenderedPageBreak/>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14:paraId="18F6C3D5" w14:textId="77777777" w:rsidR="002C1FBB" w:rsidRPr="00762DB7" w:rsidRDefault="002C1FBB" w:rsidP="002C1FBB">
      <w:pPr>
        <w:widowControl/>
        <w:autoSpaceDE w:val="0"/>
        <w:autoSpaceDN w:val="0"/>
        <w:adjustRightInd w:val="0"/>
        <w:spacing w:before="0" w:after="0"/>
        <w:ind w:left="1560"/>
        <w:jc w:val="both"/>
        <w:rPr>
          <w:snapToGrid/>
          <w:sz w:val="22"/>
          <w:szCs w:val="22"/>
        </w:rPr>
      </w:pPr>
    </w:p>
    <w:p w14:paraId="7F995240" w14:textId="77777777" w:rsidR="002C1FBB" w:rsidRPr="00762DB7" w:rsidRDefault="002C1FBB" w:rsidP="002C1FBB">
      <w:pPr>
        <w:widowControl/>
        <w:autoSpaceDE w:val="0"/>
        <w:autoSpaceDN w:val="0"/>
        <w:adjustRightInd w:val="0"/>
        <w:spacing w:before="0" w:after="0"/>
        <w:ind w:left="1146"/>
        <w:jc w:val="both"/>
        <w:rPr>
          <w:rStyle w:val="Strong"/>
          <w:sz w:val="22"/>
          <w:szCs w:val="22"/>
          <w:lang w:val="en-GB"/>
        </w:rPr>
      </w:pPr>
      <w:r w:rsidRPr="00762DB7">
        <w:rPr>
          <w:b/>
          <w:bCs/>
          <w:i/>
          <w:iCs/>
          <w:sz w:val="22"/>
          <w:szCs w:val="22"/>
        </w:rPr>
        <w:t xml:space="preserve">Rule of Origin: </w:t>
      </w:r>
      <w:r w:rsidRPr="00762DB7">
        <w:rPr>
          <w:sz w:val="22"/>
          <w:szCs w:val="22"/>
        </w:rPr>
        <w:t>Goods and materials supplied under a procurement or a grant contract, financed under the INTERREG IPA Romania-Serbia Programme are fully untied and can originate in any country. All supplies and materials are fully untied and no verification of origins required.</w:t>
      </w:r>
    </w:p>
    <w:p w14:paraId="37F56161" w14:textId="77777777" w:rsidR="002C1FBB" w:rsidRPr="00762DB7" w:rsidRDefault="002C1FBB" w:rsidP="002C1FBB">
      <w:pPr>
        <w:pStyle w:val="Blockquote"/>
        <w:numPr>
          <w:ilvl w:val="0"/>
          <w:numId w:val="46"/>
        </w:numPr>
        <w:spacing w:before="120" w:after="120"/>
        <w:jc w:val="both"/>
        <w:rPr>
          <w:sz w:val="22"/>
          <w:szCs w:val="22"/>
        </w:rPr>
      </w:pPr>
      <w:hyperlink r:id="rId14" w:history="1">
        <w:r w:rsidRPr="00762DB7">
          <w:rPr>
            <w:sz w:val="22"/>
            <w:szCs w:val="22"/>
          </w:rPr>
          <w:t>Financial Regulation 2018 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hyperlink>
      <w:r w:rsidRPr="00762DB7">
        <w:rPr>
          <w:sz w:val="22"/>
          <w:szCs w:val="22"/>
        </w:rPr>
        <w:t xml:space="preserve"> </w:t>
      </w:r>
    </w:p>
    <w:p w14:paraId="5BA59117" w14:textId="77777777" w:rsidR="002C1FBB" w:rsidRPr="00762DB7" w:rsidRDefault="002C1FBB" w:rsidP="002C1FBB">
      <w:pPr>
        <w:pStyle w:val="Blockquote"/>
        <w:spacing w:before="120" w:after="120"/>
        <w:ind w:left="1146"/>
        <w:jc w:val="both"/>
        <w:rPr>
          <w:b/>
          <w:bCs/>
          <w:lang w:val="en-GB"/>
        </w:rPr>
      </w:pPr>
      <w:r w:rsidRPr="00762DB7">
        <w:rPr>
          <w:sz w:val="22"/>
          <w:szCs w:val="22"/>
        </w:rPr>
        <w:t>(</w:t>
      </w:r>
      <w:r w:rsidRPr="00762DB7">
        <w:rPr>
          <w:b/>
          <w:bCs/>
          <w:lang w:val="en-GB"/>
        </w:rPr>
        <w:t>Articles 178 and 179 of the Financial Regulation and points 36 to 41 of Chapter 3 of Annex I)</w:t>
      </w:r>
    </w:p>
    <w:p w14:paraId="79BC0ACD" w14:textId="77777777" w:rsidR="002C1FBB" w:rsidRPr="00762DB7" w:rsidRDefault="002C1FBB" w:rsidP="002C1FBB">
      <w:pPr>
        <w:pStyle w:val="Blockquote"/>
        <w:numPr>
          <w:ilvl w:val="0"/>
          <w:numId w:val="46"/>
        </w:numPr>
        <w:spacing w:before="120" w:after="120"/>
        <w:jc w:val="both"/>
        <w:rPr>
          <w:sz w:val="22"/>
          <w:szCs w:val="22"/>
        </w:rPr>
      </w:pPr>
      <w:hyperlink r:id="rId15" w:history="1">
        <w:r w:rsidRPr="00762DB7">
          <w:rPr>
            <w:sz w:val="22"/>
            <w:szCs w:val="22"/>
          </w:rPr>
          <w:t>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hyperlink>
    </w:p>
    <w:p w14:paraId="3DF74672" w14:textId="77777777" w:rsidR="002C1FBB" w:rsidRPr="00762DB7" w:rsidRDefault="002C1FBB" w:rsidP="002C1FBB">
      <w:pPr>
        <w:pStyle w:val="Blockquote"/>
        <w:numPr>
          <w:ilvl w:val="0"/>
          <w:numId w:val="46"/>
        </w:numPr>
        <w:spacing w:before="120" w:after="120"/>
        <w:jc w:val="both"/>
        <w:rPr>
          <w:sz w:val="22"/>
          <w:szCs w:val="22"/>
        </w:rPr>
      </w:pPr>
      <w:hyperlink r:id="rId16" w:history="1">
        <w:r w:rsidRPr="00762DB7">
          <w:rPr>
            <w:sz w:val="22"/>
            <w:szCs w:val="22"/>
          </w:rPr>
          <w:t>REGULATION (EU) 2021/1059 OF THE EUROPEAN PARLIAMENT AND OF THE COUNCIL of 24 June 2021 on specific provisions for the European territorial cooperation goal (Interreg) supported by the European Regional Development Fund and external financing instruments</w:t>
        </w:r>
      </w:hyperlink>
    </w:p>
    <w:p w14:paraId="21D2BECF" w14:textId="3CD4BFDB" w:rsidR="00B9793F" w:rsidRPr="00762DB7" w:rsidRDefault="002C1FBB" w:rsidP="00016694">
      <w:pPr>
        <w:pStyle w:val="Blockquote"/>
        <w:numPr>
          <w:ilvl w:val="0"/>
          <w:numId w:val="46"/>
        </w:numPr>
        <w:spacing w:before="120" w:after="120"/>
        <w:jc w:val="both"/>
        <w:rPr>
          <w:rStyle w:val="Strong"/>
          <w:rFonts w:ascii="Calibri" w:hAnsi="Calibri" w:cs="Calibri"/>
          <w:b w:val="0"/>
          <w:sz w:val="22"/>
          <w:szCs w:val="22"/>
        </w:rPr>
      </w:pPr>
      <w:r w:rsidRPr="00762DB7">
        <w:rPr>
          <w:sz w:val="22"/>
          <w:szCs w:val="22"/>
        </w:rPr>
        <w:t>Practical guide on contract procedures for European Union external action (PRAG)</w:t>
      </w:r>
      <w:r w:rsidRPr="00762DB7">
        <w:t> 2021.1</w:t>
      </w:r>
      <w:r w:rsidRPr="00762DB7">
        <w:rPr>
          <w:rStyle w:val="eop"/>
          <w:rFonts w:ascii="Calibri" w:hAnsi="Calibri" w:cs="Calibri"/>
          <w:b/>
          <w:sz w:val="22"/>
          <w:szCs w:val="22"/>
        </w:rPr>
        <w:t> </w:t>
      </w:r>
    </w:p>
    <w:p w14:paraId="63522FC5" w14:textId="77777777" w:rsidR="006F5FD0" w:rsidRPr="00B33EE6" w:rsidRDefault="006F5FD0" w:rsidP="00584BF4">
      <w:pPr>
        <w:ind w:left="709" w:hanging="349"/>
        <w:outlineLvl w:val="0"/>
        <w:rPr>
          <w:sz w:val="22"/>
          <w:szCs w:val="22"/>
          <w:lang w:val="en-GB"/>
        </w:rPr>
      </w:pPr>
      <w:bookmarkStart w:id="2" w:name="_DV_M201"/>
      <w:bookmarkStart w:id="3" w:name="_DV_M224"/>
      <w:bookmarkStart w:id="4" w:name="_DV_M225"/>
      <w:bookmarkStart w:id="5" w:name="_DV_M226"/>
      <w:bookmarkStart w:id="6" w:name="_DV_M227"/>
      <w:bookmarkStart w:id="7" w:name="_DV_M229"/>
      <w:bookmarkStart w:id="8" w:name="_DV_M231"/>
      <w:bookmarkStart w:id="9" w:name="_DV_M232"/>
      <w:bookmarkStart w:id="10" w:name="_DV_M233"/>
      <w:bookmarkStart w:id="11" w:name="_DV_M234"/>
      <w:bookmarkStart w:id="12" w:name="_DV_M235"/>
      <w:bookmarkStart w:id="13" w:name="_DV_M236"/>
      <w:bookmarkStart w:id="14" w:name="_DV_M237"/>
      <w:bookmarkStart w:id="15" w:name="_DV_M238"/>
      <w:bookmarkEnd w:id="2"/>
      <w:bookmarkEnd w:id="3"/>
      <w:bookmarkEnd w:id="4"/>
      <w:bookmarkEnd w:id="5"/>
      <w:bookmarkEnd w:id="6"/>
      <w:bookmarkEnd w:id="7"/>
      <w:bookmarkEnd w:id="8"/>
      <w:bookmarkEnd w:id="9"/>
      <w:bookmarkEnd w:id="10"/>
      <w:bookmarkEnd w:id="11"/>
      <w:bookmarkEnd w:id="12"/>
      <w:bookmarkEnd w:id="13"/>
      <w:bookmarkEnd w:id="14"/>
      <w:bookmarkEnd w:id="15"/>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62FF8F53" w14:textId="77777777"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60A454E0" w14:textId="73383F87" w:rsidR="001A66C2" w:rsidRPr="00126C35" w:rsidRDefault="001A66C2" w:rsidP="00126C35">
      <w:pPr>
        <w:widowControl/>
        <w:snapToGrid w:val="0"/>
        <w:ind w:left="360" w:right="26"/>
        <w:jc w:val="both"/>
        <w:rPr>
          <w:rFonts w:eastAsia="Calibri"/>
          <w:i/>
          <w:iCs/>
          <w:snapToGrid/>
          <w:sz w:val="22"/>
          <w:szCs w:val="22"/>
          <w:lang w:val="en-GB"/>
        </w:rPr>
      </w:pPr>
      <w:r w:rsidRPr="003F1149">
        <w:rPr>
          <w:sz w:val="22"/>
          <w:szCs w:val="22"/>
          <w:lang w:val="en-GB"/>
        </w:rPr>
        <w:t xml:space="preserve">Any tenderer may state in its tender that it would offer a discount in the event that its tender is accepted for more than one lot. </w:t>
      </w: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lastRenderedPageBreak/>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2690E391" w:rsidR="00E9047D"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77777777" w:rsidR="006F5FD0" w:rsidRPr="00B33EE6" w:rsidRDefault="00000000">
      <w:pPr>
        <w:keepNext/>
        <w:jc w:val="center"/>
        <w:rPr>
          <w:sz w:val="28"/>
          <w:szCs w:val="28"/>
          <w:lang w:val="en-GB"/>
        </w:rPr>
      </w:pPr>
      <w:r>
        <w:rPr>
          <w:snapToGrid/>
          <w:sz w:val="22"/>
          <w:szCs w:val="22"/>
          <w:lang w:val="en-GB"/>
        </w:rPr>
        <w:pict w14:anchorId="11F7E59B">
          <v:line id="_x0000_s2052" alt="" style="position:absolute;left:0;text-align:left;z-index:3;mso-wrap-edited:f;mso-width-percent:0;mso-height-percent:0;mso-width-percent:0;mso-height-percent:0" from="1.5pt,2.05pt" to="469.5pt,2.1pt" o:allowincell="f" strokecolor="#d4d4d4" strokeweight="1.75pt">
            <v:shadow on="t" origin=",32385f" offset="0,-1pt"/>
          </v:line>
        </w:pic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63BF3D7E" w14:textId="77777777" w:rsidR="00262465" w:rsidRDefault="00262465" w:rsidP="00571687">
      <w:pPr>
        <w:ind w:left="709" w:hanging="349"/>
        <w:outlineLvl w:val="0"/>
        <w:rPr>
          <w:rStyle w:val="Emphasis"/>
          <w:i w:val="0"/>
          <w:sz w:val="22"/>
          <w:szCs w:val="22"/>
          <w:lang w:val="en-GB"/>
        </w:rPr>
      </w:pPr>
      <w:r w:rsidRPr="00262465">
        <w:rPr>
          <w:rStyle w:val="Emphasis"/>
          <w:i w:val="0"/>
          <w:sz w:val="22"/>
          <w:szCs w:val="22"/>
          <w:lang w:val="en-GB"/>
        </w:rPr>
        <w:t>The implementation of the tasks shall start on the date of the contract signature by both parties.</w:t>
      </w:r>
    </w:p>
    <w:p w14:paraId="3A100A43" w14:textId="77777777" w:rsidR="00B75FC8" w:rsidRDefault="00B75FC8" w:rsidP="00571687">
      <w:pPr>
        <w:ind w:left="709" w:hanging="349"/>
        <w:outlineLvl w:val="0"/>
        <w:rPr>
          <w:rStyle w:val="Emphasis"/>
          <w:i w:val="0"/>
          <w:sz w:val="22"/>
          <w:szCs w:val="22"/>
          <w:lang w:val="en-GB"/>
        </w:rPr>
      </w:pPr>
    </w:p>
    <w:p w14:paraId="70B1A4AA" w14:textId="3831A622"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6A07015F" w14:textId="5131B587" w:rsidR="006F5FD0" w:rsidRPr="00B33EE6" w:rsidRDefault="00932E5D" w:rsidP="002C1FBB">
      <w:pPr>
        <w:pStyle w:val="Blockquote"/>
        <w:ind w:firstLine="349"/>
        <w:jc w:val="both"/>
        <w:rPr>
          <w:i/>
          <w:sz w:val="22"/>
          <w:szCs w:val="22"/>
          <w:lang w:val="en-GB"/>
        </w:rPr>
      </w:pPr>
      <w:bookmarkStart w:id="16" w:name="_Hlk197690741"/>
      <w:r>
        <w:rPr>
          <w:rStyle w:val="Emphasis"/>
          <w:i w:val="0"/>
          <w:sz w:val="22"/>
          <w:szCs w:val="22"/>
          <w:lang w:val="en-GB"/>
        </w:rPr>
        <w:t>6 months</w:t>
      </w:r>
      <w:r w:rsidR="002C1FBB">
        <w:rPr>
          <w:rStyle w:val="Emphasis"/>
          <w:i w:val="0"/>
          <w:sz w:val="22"/>
          <w:szCs w:val="22"/>
          <w:lang w:val="en-GB"/>
        </w:rPr>
        <w:t xml:space="preserve"> from contract signature</w:t>
      </w:r>
    </w:p>
    <w:bookmarkEnd w:id="16"/>
    <w:p w14:paraId="29CC7DD8" w14:textId="77777777" w:rsidR="006F5FD0" w:rsidRPr="00B33EE6" w:rsidRDefault="00000000">
      <w:pPr>
        <w:rPr>
          <w:sz w:val="22"/>
          <w:szCs w:val="22"/>
          <w:lang w:val="en-GB"/>
        </w:rPr>
      </w:pPr>
      <w:r>
        <w:rPr>
          <w:snapToGrid/>
          <w:sz w:val="22"/>
          <w:szCs w:val="22"/>
          <w:lang w:val="en-GB"/>
        </w:rPr>
        <w:pict w14:anchorId="6E3015B7">
          <v:line id="_x0000_s2051" alt="" style="position:absolute;z-index:4;mso-wrap-edited:f;mso-width-percent:0;mso-height-percent:0;mso-width-percent:0;mso-height-percent:0" from="0,12pt" to="468pt,12.05pt" o:allowincell="f" strokecolor="#d4d4d4" strokeweight="1.75pt">
            <v:shadow on="t" origin=",32385f" offset="0,-1pt"/>
          </v:line>
        </w:pic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2D2CD701"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7CAD1126"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Capacity-providing entities</w:t>
      </w:r>
    </w:p>
    <w:p w14:paraId="1677E155"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100C3D8B"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2C410C11" w14:textId="67CF4250" w:rsidR="00831982" w:rsidRPr="0097338B" w:rsidRDefault="00831982" w:rsidP="0097338B">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0D716E4E" w14:textId="09857B85" w:rsidR="006F5FD0" w:rsidRPr="00B33EE6"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14:paraId="53A16187" w14:textId="60E05DE7" w:rsidR="006F5FD0" w:rsidRPr="00250A48" w:rsidRDefault="006F5FD0" w:rsidP="008660AD">
      <w:pPr>
        <w:pStyle w:val="Blockquote"/>
        <w:numPr>
          <w:ilvl w:val="0"/>
          <w:numId w:val="45"/>
        </w:numPr>
        <w:ind w:right="357"/>
        <w:jc w:val="both"/>
        <w:rPr>
          <w:sz w:val="22"/>
          <w:szCs w:val="22"/>
          <w:lang w:val="en-GB"/>
        </w:rPr>
      </w:pPr>
      <w:r w:rsidRPr="00B33EE6">
        <w:rPr>
          <w:b/>
          <w:sz w:val="22"/>
          <w:szCs w:val="22"/>
          <w:u w:val="single"/>
          <w:lang w:val="en-GB"/>
        </w:rPr>
        <w:t xml:space="preserve">Economic and financial </w:t>
      </w:r>
      <w:r w:rsidR="001C64F1" w:rsidRPr="00B33EE6">
        <w:rPr>
          <w:b/>
          <w:sz w:val="22"/>
          <w:szCs w:val="22"/>
          <w:u w:val="single"/>
          <w:lang w:val="en-GB"/>
        </w:rPr>
        <w:t xml:space="preserve">capacity </w:t>
      </w:r>
      <w:r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 xml:space="preserve">years for </w:t>
      </w:r>
      <w:r w:rsidR="006751D2" w:rsidRPr="00250A48">
        <w:rPr>
          <w:sz w:val="22"/>
          <w:szCs w:val="22"/>
          <w:lang w:val="en-GB"/>
        </w:rPr>
        <w:t>which accounts have been closed.</w:t>
      </w:r>
    </w:p>
    <w:p w14:paraId="0267F868" w14:textId="4B1D3448" w:rsidR="002C1FBB" w:rsidRPr="00250A48" w:rsidRDefault="002C1FBB" w:rsidP="00C94AA3">
      <w:pPr>
        <w:pStyle w:val="Blockquote"/>
        <w:numPr>
          <w:ilvl w:val="0"/>
          <w:numId w:val="36"/>
        </w:numPr>
        <w:tabs>
          <w:tab w:val="clear" w:pos="360"/>
          <w:tab w:val="num" w:pos="720"/>
        </w:tabs>
        <w:ind w:left="720"/>
        <w:jc w:val="both"/>
        <w:rPr>
          <w:sz w:val="22"/>
          <w:szCs w:val="22"/>
          <w:lang w:val="es-ES_tradnl"/>
        </w:rPr>
      </w:pPr>
      <w:r w:rsidRPr="00250A48">
        <w:rPr>
          <w:sz w:val="22"/>
          <w:szCs w:val="22"/>
          <w:lang w:val="en-GB"/>
        </w:rPr>
        <w:lastRenderedPageBreak/>
        <w:t xml:space="preserve">the average annual turnover of the tenderer must exceed the </w:t>
      </w:r>
      <w:r w:rsidR="00C94AA3" w:rsidRPr="00250A48">
        <w:rPr>
          <w:sz w:val="22"/>
          <w:szCs w:val="22"/>
          <w:lang w:val="en-GB"/>
        </w:rPr>
        <w:t>T</w:t>
      </w:r>
      <w:r w:rsidRPr="00250A48">
        <w:rPr>
          <w:sz w:val="22"/>
          <w:szCs w:val="22"/>
          <w:lang w:val="en-GB"/>
        </w:rPr>
        <w:t>enderer’s financial offer.</w:t>
      </w:r>
      <w:r w:rsidRPr="00250A48">
        <w:rPr>
          <w:b/>
          <w:sz w:val="22"/>
          <w:szCs w:val="22"/>
          <w:lang w:val="en-GB"/>
        </w:rPr>
        <w:t xml:space="preserve"> </w:t>
      </w:r>
    </w:p>
    <w:p w14:paraId="5D762B00" w14:textId="6EF9DB89" w:rsidR="006F5FD0" w:rsidRPr="00250A48" w:rsidRDefault="00571687" w:rsidP="00571687">
      <w:pPr>
        <w:pStyle w:val="Blockquote"/>
        <w:ind w:left="641" w:right="357" w:hanging="284"/>
        <w:jc w:val="both"/>
        <w:rPr>
          <w:sz w:val="22"/>
          <w:szCs w:val="22"/>
          <w:lang w:val="en-GB"/>
        </w:rPr>
      </w:pPr>
      <w:r w:rsidRPr="008B361F">
        <w:rPr>
          <w:b/>
          <w:sz w:val="22"/>
          <w:szCs w:val="22"/>
          <w:u w:val="single"/>
          <w:lang w:val="en-GB"/>
        </w:rPr>
        <w:t>2)</w:t>
      </w:r>
      <w:r w:rsidRPr="008B361F">
        <w:rPr>
          <w:sz w:val="22"/>
          <w:szCs w:val="22"/>
          <w:u w:val="single"/>
          <w:lang w:val="en-GB"/>
        </w:rPr>
        <w:tab/>
      </w:r>
      <w:r w:rsidR="006F5FD0" w:rsidRPr="008B361F">
        <w:rPr>
          <w:b/>
          <w:sz w:val="22"/>
          <w:szCs w:val="22"/>
          <w:u w:val="single"/>
          <w:lang w:val="en-GB"/>
        </w:rPr>
        <w:t>Professional capacity of</w:t>
      </w:r>
      <w:r w:rsidR="002413EA" w:rsidRPr="008B361F">
        <w:rPr>
          <w:b/>
          <w:sz w:val="22"/>
          <w:szCs w:val="22"/>
          <w:u w:val="single"/>
          <w:lang w:val="en-GB"/>
        </w:rPr>
        <w:t xml:space="preserve"> the tenderer</w:t>
      </w:r>
      <w:r w:rsidR="006F5FD0" w:rsidRPr="008B361F">
        <w:rPr>
          <w:b/>
          <w:sz w:val="22"/>
          <w:szCs w:val="22"/>
          <w:u w:val="single"/>
          <w:lang w:val="en-GB"/>
        </w:rPr>
        <w:t xml:space="preserve"> </w:t>
      </w:r>
      <w:r w:rsidR="00A85E8A" w:rsidRPr="008B361F">
        <w:rPr>
          <w:b/>
          <w:sz w:val="22"/>
          <w:szCs w:val="22"/>
          <w:u w:val="single"/>
          <w:lang w:val="en-GB"/>
        </w:rPr>
        <w:t>(</w:t>
      </w:r>
      <w:r w:rsidR="006F5FD0" w:rsidRPr="008B361F">
        <w:rPr>
          <w:sz w:val="22"/>
          <w:szCs w:val="22"/>
          <w:lang w:val="en-GB"/>
        </w:rPr>
        <w:t>based</w:t>
      </w:r>
      <w:r w:rsidR="006F5FD0" w:rsidRPr="00250A48">
        <w:rPr>
          <w:sz w:val="22"/>
          <w:szCs w:val="22"/>
          <w:lang w:val="en-GB"/>
        </w:rPr>
        <w:t xml:space="preserve"> on items </w:t>
      </w:r>
      <w:r w:rsidR="00087A72" w:rsidRPr="00250A48">
        <w:rPr>
          <w:sz w:val="22"/>
          <w:szCs w:val="22"/>
          <w:lang w:val="en-GB"/>
        </w:rPr>
        <w:t xml:space="preserve">4 of the </w:t>
      </w:r>
      <w:r w:rsidR="005639EC" w:rsidRPr="00250A48">
        <w:rPr>
          <w:sz w:val="22"/>
          <w:szCs w:val="22"/>
          <w:lang w:val="en-GB"/>
        </w:rPr>
        <w:t>tender</w:t>
      </w:r>
      <w:r w:rsidR="00087A72" w:rsidRPr="00250A48">
        <w:rPr>
          <w:sz w:val="22"/>
          <w:szCs w:val="22"/>
          <w:lang w:val="en-GB"/>
        </w:rPr>
        <w:t xml:space="preserve"> form)</w:t>
      </w:r>
      <w:r w:rsidR="00BE08EC" w:rsidRPr="00250A48">
        <w:rPr>
          <w:sz w:val="22"/>
          <w:szCs w:val="22"/>
          <w:lang w:val="en-GB"/>
        </w:rPr>
        <w:t>.</w:t>
      </w:r>
    </w:p>
    <w:p w14:paraId="73497340" w14:textId="77777777" w:rsidR="002C1FBB" w:rsidRPr="00250A48" w:rsidRDefault="002C1FBB" w:rsidP="002C1FBB">
      <w:pPr>
        <w:pStyle w:val="Blockquote"/>
        <w:ind w:right="357" w:hanging="3"/>
        <w:jc w:val="both"/>
        <w:rPr>
          <w:sz w:val="22"/>
          <w:szCs w:val="22"/>
          <w:lang w:val="en-GB"/>
        </w:rPr>
      </w:pPr>
      <w:r w:rsidRPr="00250A48">
        <w:rPr>
          <w:sz w:val="22"/>
          <w:szCs w:val="22"/>
          <w:lang w:val="en-GB"/>
        </w:rPr>
        <w:t>The reference period which will be taken into account will be the last three years preceding the submission deadline.</w:t>
      </w:r>
    </w:p>
    <w:p w14:paraId="3B19A663" w14:textId="0E1A6E85" w:rsidR="007A4E24" w:rsidRPr="004139B1" w:rsidRDefault="002C1FBB" w:rsidP="007A4E24">
      <w:pPr>
        <w:pStyle w:val="Blockquote"/>
        <w:numPr>
          <w:ilvl w:val="0"/>
          <w:numId w:val="36"/>
        </w:numPr>
        <w:tabs>
          <w:tab w:val="clear" w:pos="360"/>
          <w:tab w:val="num" w:pos="720"/>
        </w:tabs>
        <w:ind w:left="720"/>
        <w:jc w:val="both"/>
        <w:rPr>
          <w:sz w:val="22"/>
          <w:szCs w:val="22"/>
          <w:lang w:val="es-ES_tradnl"/>
        </w:rPr>
      </w:pPr>
      <w:r w:rsidRPr="00250A48">
        <w:rPr>
          <w:sz w:val="22"/>
          <w:szCs w:val="22"/>
          <w:lang w:val="en-GB"/>
        </w:rPr>
        <w:t xml:space="preserve">at </w:t>
      </w:r>
      <w:r w:rsidRPr="008B361F">
        <w:rPr>
          <w:sz w:val="22"/>
          <w:szCs w:val="22"/>
          <w:lang w:val="en-GB"/>
        </w:rPr>
        <w:t xml:space="preserve">least </w:t>
      </w:r>
      <w:bookmarkStart w:id="17" w:name="_Hlk197935394"/>
      <w:r w:rsidR="0041238F" w:rsidRPr="008B361F">
        <w:rPr>
          <w:sz w:val="22"/>
          <w:szCs w:val="22"/>
          <w:lang w:val="en-GB"/>
        </w:rPr>
        <w:t>four</w:t>
      </w:r>
      <w:r w:rsidRPr="008B361F">
        <w:rPr>
          <w:sz w:val="22"/>
          <w:szCs w:val="22"/>
          <w:lang w:val="en-GB"/>
        </w:rPr>
        <w:t xml:space="preserve"> staff</w:t>
      </w:r>
      <w:r w:rsidR="00C94AA3" w:rsidRPr="008B361F">
        <w:rPr>
          <w:sz w:val="22"/>
          <w:szCs w:val="22"/>
          <w:lang w:val="en-GB"/>
        </w:rPr>
        <w:t xml:space="preserve"> member</w:t>
      </w:r>
      <w:r w:rsidR="00B43A33" w:rsidRPr="008B361F">
        <w:rPr>
          <w:sz w:val="22"/>
          <w:szCs w:val="22"/>
          <w:lang w:val="en-GB"/>
        </w:rPr>
        <w:t>s</w:t>
      </w:r>
      <w:r w:rsidR="00097D94" w:rsidRPr="008B361F">
        <w:rPr>
          <w:sz w:val="22"/>
          <w:szCs w:val="22"/>
          <w:lang w:val="en-GB"/>
        </w:rPr>
        <w:t xml:space="preserve"> </w:t>
      </w:r>
      <w:bookmarkEnd w:id="17"/>
      <w:r w:rsidR="00152201" w:rsidRPr="008B361F">
        <w:rPr>
          <w:sz w:val="22"/>
          <w:szCs w:val="22"/>
          <w:lang w:val="en-GB"/>
        </w:rPr>
        <w:t xml:space="preserve">that </w:t>
      </w:r>
      <w:r w:rsidRPr="008B361F">
        <w:rPr>
          <w:sz w:val="22"/>
          <w:szCs w:val="22"/>
          <w:lang w:val="en-GB"/>
        </w:rPr>
        <w:t>work</w:t>
      </w:r>
      <w:r w:rsidR="00097D94" w:rsidRPr="008B361F">
        <w:rPr>
          <w:sz w:val="22"/>
          <w:szCs w:val="22"/>
          <w:lang w:val="en-GB"/>
        </w:rPr>
        <w:t xml:space="preserve"> </w:t>
      </w:r>
      <w:r w:rsidRPr="008B361F">
        <w:rPr>
          <w:sz w:val="22"/>
          <w:szCs w:val="22"/>
          <w:lang w:val="en-GB"/>
        </w:rPr>
        <w:t>for the tenderer</w:t>
      </w:r>
      <w:r w:rsidR="00152201" w:rsidRPr="008B361F">
        <w:rPr>
          <w:sz w:val="22"/>
          <w:szCs w:val="22"/>
          <w:lang w:val="en-GB"/>
        </w:rPr>
        <w:t xml:space="preserve"> (full-time or engaged)</w:t>
      </w:r>
      <w:r w:rsidRPr="008B361F">
        <w:rPr>
          <w:sz w:val="22"/>
          <w:szCs w:val="22"/>
          <w:lang w:val="en-GB"/>
        </w:rPr>
        <w:t xml:space="preserve"> in fields related to this contract</w:t>
      </w:r>
      <w:r w:rsidR="00CD1FFB" w:rsidRPr="008B361F">
        <w:rPr>
          <w:sz w:val="22"/>
          <w:szCs w:val="22"/>
          <w:lang w:val="en-GB"/>
        </w:rPr>
        <w:t xml:space="preserve"> (1 project manager, </w:t>
      </w:r>
      <w:r w:rsidR="0041238F" w:rsidRPr="008B361F">
        <w:rPr>
          <w:sz w:val="22"/>
          <w:szCs w:val="22"/>
          <w:lang w:val="en-GB"/>
        </w:rPr>
        <w:t>3</w:t>
      </w:r>
      <w:r w:rsidR="00CD1FFB" w:rsidRPr="008B361F">
        <w:rPr>
          <w:sz w:val="22"/>
          <w:szCs w:val="22"/>
          <w:lang w:val="en-GB"/>
        </w:rPr>
        <w:t xml:space="preserve"> staff member</w:t>
      </w:r>
      <w:r w:rsidR="00152201" w:rsidRPr="008B361F">
        <w:rPr>
          <w:sz w:val="22"/>
          <w:szCs w:val="22"/>
          <w:lang w:val="en-GB"/>
        </w:rPr>
        <w:t>s)</w:t>
      </w:r>
      <w:r w:rsidR="00C761C9">
        <w:rPr>
          <w:sz w:val="22"/>
          <w:szCs w:val="22"/>
          <w:lang w:val="en-GB"/>
        </w:rPr>
        <w:t xml:space="preserve"> </w:t>
      </w:r>
      <w:r w:rsidR="00855A9A" w:rsidRPr="008B361F">
        <w:rPr>
          <w:sz w:val="22"/>
          <w:szCs w:val="22"/>
          <w:lang w:val="en-GB"/>
        </w:rPr>
        <w:t xml:space="preserve">– at least </w:t>
      </w:r>
      <w:r w:rsidR="00B053E3" w:rsidRPr="008B361F">
        <w:rPr>
          <w:sz w:val="22"/>
          <w:szCs w:val="22"/>
          <w:lang w:val="en-GB"/>
        </w:rPr>
        <w:t>two</w:t>
      </w:r>
      <w:r w:rsidR="00855A9A" w:rsidRPr="008B361F">
        <w:rPr>
          <w:sz w:val="22"/>
          <w:szCs w:val="22"/>
          <w:lang w:val="en-GB"/>
        </w:rPr>
        <w:t xml:space="preserve"> staff member</w:t>
      </w:r>
      <w:r w:rsidR="00B053E3" w:rsidRPr="008B361F">
        <w:rPr>
          <w:sz w:val="22"/>
          <w:szCs w:val="22"/>
          <w:lang w:val="en-GB"/>
        </w:rPr>
        <w:t>s</w:t>
      </w:r>
      <w:r w:rsidR="00855A9A" w:rsidRPr="008B361F">
        <w:rPr>
          <w:sz w:val="22"/>
          <w:szCs w:val="22"/>
          <w:lang w:val="en-GB"/>
        </w:rPr>
        <w:t xml:space="preserve"> </w:t>
      </w:r>
      <w:r w:rsidR="00D56F03" w:rsidRPr="008B361F">
        <w:rPr>
          <w:sz w:val="22"/>
          <w:szCs w:val="22"/>
          <w:lang w:val="en-GB"/>
        </w:rPr>
        <w:t>have</w:t>
      </w:r>
      <w:r w:rsidR="00855A9A" w:rsidRPr="008B361F">
        <w:rPr>
          <w:sz w:val="22"/>
          <w:szCs w:val="22"/>
          <w:lang w:val="en-GB"/>
        </w:rPr>
        <w:t xml:space="preserve"> to have working knowledge of Hungarian</w:t>
      </w:r>
      <w:r w:rsidR="00074A1F" w:rsidRPr="008B361F">
        <w:rPr>
          <w:sz w:val="22"/>
          <w:szCs w:val="22"/>
          <w:lang w:val="en-GB"/>
        </w:rPr>
        <w:t xml:space="preserve"> next to working knowledge of Serbian and English</w:t>
      </w:r>
      <w:r w:rsidR="0045764D" w:rsidRPr="008B361F">
        <w:rPr>
          <w:sz w:val="22"/>
          <w:szCs w:val="22"/>
          <w:lang w:val="en-GB"/>
        </w:rPr>
        <w:t xml:space="preserve"> (which is a requirement for all staff members)</w:t>
      </w:r>
    </w:p>
    <w:p w14:paraId="74E65105" w14:textId="30AF07F1" w:rsidR="00B053E3" w:rsidRDefault="004139B1" w:rsidP="00441293">
      <w:pPr>
        <w:pStyle w:val="Blockquote"/>
        <w:ind w:left="720"/>
        <w:jc w:val="both"/>
        <w:rPr>
          <w:sz w:val="22"/>
          <w:szCs w:val="22"/>
          <w:lang w:val="es-ES_tradnl"/>
        </w:rPr>
      </w:pPr>
      <w:r>
        <w:rPr>
          <w:sz w:val="22"/>
          <w:szCs w:val="22"/>
          <w:lang w:val="en-GB"/>
        </w:rPr>
        <w:t>Staff member profiles:</w:t>
      </w:r>
    </w:p>
    <w:p w14:paraId="216AEC10" w14:textId="5BB4111A" w:rsidR="00855A9A" w:rsidRPr="004139B1" w:rsidRDefault="00661DB0" w:rsidP="00DD292F">
      <w:pPr>
        <w:pStyle w:val="Blockquote"/>
        <w:spacing w:before="0" w:after="0"/>
        <w:ind w:left="1530" w:right="357"/>
        <w:jc w:val="both"/>
        <w:rPr>
          <w:sz w:val="22"/>
          <w:szCs w:val="22"/>
          <w:lang w:val="en-GB"/>
        </w:rPr>
      </w:pPr>
      <w:r w:rsidRPr="004139B1">
        <w:rPr>
          <w:sz w:val="22"/>
          <w:szCs w:val="22"/>
          <w:lang w:val="en-GB"/>
        </w:rPr>
        <w:t xml:space="preserve">- </w:t>
      </w:r>
      <w:r w:rsidR="00097D94" w:rsidRPr="004139B1">
        <w:rPr>
          <w:sz w:val="22"/>
          <w:szCs w:val="22"/>
          <w:lang w:val="en-GB"/>
        </w:rPr>
        <w:t>1 project manager</w:t>
      </w:r>
      <w:r w:rsidR="007A4E24" w:rsidRPr="004139B1">
        <w:rPr>
          <w:sz w:val="22"/>
          <w:szCs w:val="22"/>
          <w:lang w:val="en-GB"/>
        </w:rPr>
        <w:t xml:space="preserve"> with</w:t>
      </w:r>
      <w:r w:rsidR="00855A9A" w:rsidRPr="004139B1">
        <w:rPr>
          <w:sz w:val="22"/>
          <w:szCs w:val="22"/>
          <w:lang w:val="en-GB"/>
        </w:rPr>
        <w:t xml:space="preserve"> a higher education degree</w:t>
      </w:r>
      <w:r w:rsidR="007A4E24" w:rsidRPr="004139B1">
        <w:rPr>
          <w:sz w:val="22"/>
          <w:szCs w:val="22"/>
          <w:lang w:val="en-GB"/>
        </w:rPr>
        <w:t xml:space="preserve"> </w:t>
      </w:r>
      <w:r w:rsidR="00855A9A" w:rsidRPr="004139B1">
        <w:rPr>
          <w:sz w:val="22"/>
          <w:szCs w:val="22"/>
          <w:lang w:val="en-GB"/>
        </w:rPr>
        <w:t xml:space="preserve">in </w:t>
      </w:r>
      <w:r w:rsidR="005A4535">
        <w:rPr>
          <w:sz w:val="22"/>
          <w:szCs w:val="22"/>
          <w:lang w:val="en-GB"/>
        </w:rPr>
        <w:t>fields</w:t>
      </w:r>
      <w:r w:rsidR="00855A9A" w:rsidRPr="004139B1">
        <w:rPr>
          <w:sz w:val="22"/>
          <w:szCs w:val="22"/>
          <w:lang w:val="en-GB"/>
        </w:rPr>
        <w:t xml:space="preserve"> related to this contract </w:t>
      </w:r>
      <w:r w:rsidR="00BE45B8" w:rsidRPr="004139B1">
        <w:rPr>
          <w:sz w:val="22"/>
          <w:szCs w:val="22"/>
          <w:lang w:val="en-GB"/>
        </w:rPr>
        <w:t xml:space="preserve">and has minimum three years of </w:t>
      </w:r>
      <w:r w:rsidR="007A4E24" w:rsidRPr="004139B1">
        <w:rPr>
          <w:sz w:val="22"/>
          <w:szCs w:val="22"/>
          <w:lang w:val="en-GB"/>
        </w:rPr>
        <w:t>relevant experience in IT project management</w:t>
      </w:r>
      <w:r w:rsidR="00855A9A" w:rsidRPr="004139B1">
        <w:rPr>
          <w:sz w:val="22"/>
          <w:szCs w:val="22"/>
          <w:lang w:val="en-GB"/>
        </w:rPr>
        <w:t xml:space="preserve"> in fields related to this contract</w:t>
      </w:r>
    </w:p>
    <w:p w14:paraId="45580B4E" w14:textId="77777777" w:rsidR="00D96A43" w:rsidRPr="004139B1" w:rsidRDefault="00D96A43" w:rsidP="00D96A43">
      <w:pPr>
        <w:pStyle w:val="Blockquote"/>
        <w:spacing w:before="0" w:after="0"/>
        <w:ind w:left="720" w:right="357" w:firstLine="720"/>
        <w:jc w:val="both"/>
        <w:rPr>
          <w:sz w:val="22"/>
          <w:szCs w:val="22"/>
          <w:lang w:val="en-GB"/>
        </w:rPr>
      </w:pPr>
    </w:p>
    <w:p w14:paraId="71820319" w14:textId="2A5BE990" w:rsidR="007A4E24" w:rsidRPr="004139B1" w:rsidRDefault="00097D94" w:rsidP="00DD292F">
      <w:pPr>
        <w:pStyle w:val="Blockquote"/>
        <w:spacing w:before="0" w:after="0"/>
        <w:ind w:left="1440" w:right="357"/>
        <w:jc w:val="both"/>
        <w:rPr>
          <w:sz w:val="22"/>
          <w:szCs w:val="22"/>
          <w:lang w:val="en-GB"/>
        </w:rPr>
      </w:pPr>
      <w:r w:rsidRPr="004139B1">
        <w:rPr>
          <w:sz w:val="22"/>
          <w:szCs w:val="22"/>
          <w:lang w:val="en-GB"/>
        </w:rPr>
        <w:t xml:space="preserve">- </w:t>
      </w:r>
      <w:r w:rsidR="00661DB0" w:rsidRPr="004139B1">
        <w:rPr>
          <w:sz w:val="22"/>
          <w:szCs w:val="22"/>
          <w:lang w:val="en-GB"/>
        </w:rPr>
        <w:t xml:space="preserve">1 staff member </w:t>
      </w:r>
      <w:r w:rsidR="00855A9A" w:rsidRPr="004139B1">
        <w:rPr>
          <w:sz w:val="22"/>
          <w:szCs w:val="22"/>
          <w:lang w:val="en-GB"/>
        </w:rPr>
        <w:t>with a higher education degree in fields related to this contract</w:t>
      </w:r>
      <w:r w:rsidR="008A793A" w:rsidRPr="004139B1">
        <w:rPr>
          <w:sz w:val="22"/>
          <w:szCs w:val="22"/>
          <w:lang w:val="en-GB"/>
        </w:rPr>
        <w:t xml:space="preserve"> and</w:t>
      </w:r>
      <w:r w:rsidR="00661DB0" w:rsidRPr="004139B1">
        <w:rPr>
          <w:sz w:val="22"/>
          <w:szCs w:val="22"/>
          <w:lang w:val="en-GB"/>
        </w:rPr>
        <w:t xml:space="preserve"> has</w:t>
      </w:r>
      <w:r w:rsidRPr="004139B1">
        <w:rPr>
          <w:sz w:val="22"/>
          <w:szCs w:val="22"/>
          <w:lang w:val="en-GB"/>
        </w:rPr>
        <w:t xml:space="preserve"> minimum three </w:t>
      </w:r>
      <w:r w:rsidR="00BE45B8" w:rsidRPr="004139B1">
        <w:rPr>
          <w:sz w:val="22"/>
          <w:szCs w:val="22"/>
          <w:lang w:val="en-GB"/>
        </w:rPr>
        <w:t>years’ experience</w:t>
      </w:r>
      <w:r w:rsidR="00661DB0" w:rsidRPr="004139B1">
        <w:rPr>
          <w:sz w:val="22"/>
          <w:szCs w:val="22"/>
          <w:lang w:val="en-GB"/>
        </w:rPr>
        <w:t xml:space="preserve"> in programming</w:t>
      </w:r>
      <w:r w:rsidR="00855A9A" w:rsidRPr="004139B1">
        <w:rPr>
          <w:sz w:val="22"/>
          <w:szCs w:val="22"/>
          <w:lang w:val="en-GB"/>
        </w:rPr>
        <w:t>/application development</w:t>
      </w:r>
      <w:r w:rsidR="00661DB0" w:rsidRPr="004139B1">
        <w:rPr>
          <w:sz w:val="22"/>
          <w:szCs w:val="22"/>
          <w:lang w:val="en-GB"/>
        </w:rPr>
        <w:t xml:space="preserve"> in Drupal </w:t>
      </w:r>
      <w:r w:rsidR="00855A9A" w:rsidRPr="004139B1">
        <w:rPr>
          <w:sz w:val="22"/>
          <w:szCs w:val="22"/>
          <w:lang w:val="en-GB"/>
        </w:rPr>
        <w:t>and related fields</w:t>
      </w:r>
    </w:p>
    <w:p w14:paraId="537E2935" w14:textId="77777777" w:rsidR="00D96A43" w:rsidRPr="004139B1" w:rsidRDefault="00D96A43" w:rsidP="00D96A43">
      <w:pPr>
        <w:pStyle w:val="Blockquote"/>
        <w:spacing w:before="0" w:after="0"/>
        <w:ind w:left="720" w:right="357" w:firstLine="720"/>
        <w:jc w:val="both"/>
        <w:rPr>
          <w:sz w:val="22"/>
          <w:szCs w:val="22"/>
          <w:lang w:val="en-GB"/>
        </w:rPr>
      </w:pPr>
    </w:p>
    <w:p w14:paraId="60D56652" w14:textId="3B1338EE" w:rsidR="00B43A33" w:rsidRPr="004139B1" w:rsidRDefault="008A793A" w:rsidP="008730D4">
      <w:pPr>
        <w:pStyle w:val="Blockquote"/>
        <w:numPr>
          <w:ilvl w:val="0"/>
          <w:numId w:val="49"/>
        </w:numPr>
        <w:spacing w:before="0" w:after="0"/>
        <w:ind w:right="357"/>
        <w:jc w:val="both"/>
        <w:rPr>
          <w:sz w:val="22"/>
          <w:szCs w:val="22"/>
          <w:lang w:val="en-GB"/>
        </w:rPr>
      </w:pPr>
      <w:r w:rsidRPr="004139B1">
        <w:rPr>
          <w:sz w:val="22"/>
          <w:szCs w:val="22"/>
          <w:lang w:val="en-GB"/>
        </w:rPr>
        <w:t xml:space="preserve">1 staff member member with a higher education degree in fields related to this contract and has minimum three years’ experience </w:t>
      </w:r>
      <w:r w:rsidR="008C3E37" w:rsidRPr="004139B1">
        <w:rPr>
          <w:sz w:val="22"/>
          <w:szCs w:val="22"/>
          <w:lang w:val="en-GB"/>
        </w:rPr>
        <w:t xml:space="preserve">in </w:t>
      </w:r>
      <w:r w:rsidR="008C3E37" w:rsidRPr="004139B1">
        <w:rPr>
          <w:sz w:val="22"/>
          <w:szCs w:val="22"/>
        </w:rPr>
        <w:t>Quality</w:t>
      </w:r>
      <w:r w:rsidRPr="004139B1">
        <w:rPr>
          <w:sz w:val="22"/>
          <w:szCs w:val="22"/>
        </w:rPr>
        <w:t xml:space="preserve"> Assurance </w:t>
      </w:r>
      <w:r w:rsidR="00850B68">
        <w:rPr>
          <w:sz w:val="22"/>
          <w:szCs w:val="22"/>
        </w:rPr>
        <w:t>in IT projects</w:t>
      </w:r>
    </w:p>
    <w:p w14:paraId="17C287BA" w14:textId="77777777" w:rsidR="0041238F" w:rsidRPr="004139B1" w:rsidRDefault="0041238F" w:rsidP="0041238F">
      <w:pPr>
        <w:pStyle w:val="Blockquote"/>
        <w:spacing w:before="0" w:after="0"/>
        <w:ind w:left="1800" w:right="357"/>
        <w:jc w:val="both"/>
        <w:rPr>
          <w:sz w:val="22"/>
          <w:szCs w:val="22"/>
          <w:lang w:val="en-GB"/>
        </w:rPr>
      </w:pPr>
    </w:p>
    <w:p w14:paraId="321145C3" w14:textId="270E98EB" w:rsidR="008A793A" w:rsidRPr="004139B1" w:rsidRDefault="0041238F" w:rsidP="008A793A">
      <w:pPr>
        <w:pStyle w:val="Blockquote"/>
        <w:numPr>
          <w:ilvl w:val="0"/>
          <w:numId w:val="49"/>
        </w:numPr>
        <w:spacing w:before="0" w:after="0"/>
        <w:ind w:right="357"/>
        <w:jc w:val="both"/>
        <w:rPr>
          <w:sz w:val="22"/>
          <w:szCs w:val="22"/>
          <w:lang w:val="en-GB"/>
        </w:rPr>
      </w:pPr>
      <w:r w:rsidRPr="004139B1">
        <w:rPr>
          <w:sz w:val="22"/>
          <w:szCs w:val="22"/>
          <w:lang w:val="en-GB"/>
        </w:rPr>
        <w:t>1 staff member member with a higher education degree in fields related to this contract and has minimum three years’ experience</w:t>
      </w:r>
      <w:r w:rsidR="008C3E37" w:rsidRPr="004139B1">
        <w:rPr>
          <w:sz w:val="22"/>
          <w:szCs w:val="22"/>
          <w:lang w:val="en-GB"/>
        </w:rPr>
        <w:t xml:space="preserve"> in the management of big data platforms, givin</w:t>
      </w:r>
      <w:r w:rsidR="00C761C9">
        <w:rPr>
          <w:sz w:val="22"/>
          <w:szCs w:val="22"/>
          <w:lang w:val="en-GB"/>
        </w:rPr>
        <w:t>g</w:t>
      </w:r>
      <w:r w:rsidR="008C3E37" w:rsidRPr="004139B1">
        <w:rPr>
          <w:sz w:val="22"/>
          <w:szCs w:val="22"/>
          <w:lang w:val="en-GB"/>
        </w:rPr>
        <w:t xml:space="preserve"> help-line services and management of administrative back-office interface of big data platforms </w:t>
      </w:r>
    </w:p>
    <w:p w14:paraId="4E2A08E6" w14:textId="2C779488" w:rsidR="00B43A33" w:rsidRDefault="00B43A33" w:rsidP="008C3E37">
      <w:pPr>
        <w:pStyle w:val="Blockquote"/>
        <w:spacing w:before="0" w:after="0"/>
        <w:ind w:left="0" w:right="357"/>
        <w:jc w:val="both"/>
        <w:rPr>
          <w:color w:val="C00000"/>
          <w:sz w:val="22"/>
          <w:szCs w:val="22"/>
          <w:lang w:val="en-GB"/>
        </w:rPr>
      </w:pPr>
    </w:p>
    <w:p w14:paraId="05E75179" w14:textId="3BD913EC" w:rsidR="00BE08EC" w:rsidRPr="00250A48" w:rsidRDefault="00571687" w:rsidP="00B33EE6">
      <w:pPr>
        <w:pStyle w:val="Blockquote"/>
        <w:ind w:left="720" w:right="357" w:hanging="360"/>
        <w:jc w:val="both"/>
        <w:rPr>
          <w:sz w:val="22"/>
          <w:szCs w:val="22"/>
          <w:lang w:val="en-GB"/>
        </w:rPr>
      </w:pPr>
      <w:r w:rsidRPr="00250A48">
        <w:rPr>
          <w:b/>
          <w:sz w:val="22"/>
          <w:szCs w:val="22"/>
          <w:u w:val="single"/>
          <w:lang w:val="en-GB"/>
        </w:rPr>
        <w:t>3)</w:t>
      </w:r>
      <w:r w:rsidRPr="00250A48">
        <w:rPr>
          <w:b/>
          <w:sz w:val="22"/>
          <w:szCs w:val="22"/>
          <w:u w:val="single"/>
          <w:lang w:val="en-GB"/>
        </w:rPr>
        <w:tab/>
      </w:r>
      <w:r w:rsidR="006F5FD0" w:rsidRPr="00250A48">
        <w:rPr>
          <w:b/>
          <w:sz w:val="22"/>
          <w:szCs w:val="22"/>
          <w:u w:val="single"/>
          <w:lang w:val="en-GB"/>
        </w:rPr>
        <w:t xml:space="preserve">Technical capacity of </w:t>
      </w:r>
      <w:r w:rsidR="00C03AF5" w:rsidRPr="00250A48">
        <w:rPr>
          <w:b/>
          <w:sz w:val="22"/>
          <w:szCs w:val="22"/>
          <w:u w:val="single"/>
          <w:lang w:val="en-GB"/>
        </w:rPr>
        <w:t>tenderer</w:t>
      </w:r>
      <w:r w:rsidR="006F5FD0" w:rsidRPr="00250A48">
        <w:rPr>
          <w:b/>
          <w:sz w:val="22"/>
          <w:szCs w:val="22"/>
          <w:u w:val="single"/>
          <w:lang w:val="en-GB"/>
        </w:rPr>
        <w:t xml:space="preserve"> </w:t>
      </w:r>
      <w:r w:rsidR="00087A72" w:rsidRPr="00250A48">
        <w:rPr>
          <w:sz w:val="22"/>
          <w:szCs w:val="22"/>
          <w:lang w:val="en-GB"/>
        </w:rPr>
        <w:t>(</w:t>
      </w:r>
      <w:r w:rsidR="006F5FD0" w:rsidRPr="00250A48">
        <w:rPr>
          <w:sz w:val="22"/>
          <w:szCs w:val="22"/>
          <w:lang w:val="en-GB"/>
        </w:rPr>
        <w:t xml:space="preserve">based on items 5 and 6 of the </w:t>
      </w:r>
      <w:r w:rsidR="00994EA3" w:rsidRPr="00250A48">
        <w:rPr>
          <w:sz w:val="22"/>
          <w:szCs w:val="22"/>
          <w:lang w:val="en-GB"/>
        </w:rPr>
        <w:t>tender</w:t>
      </w:r>
      <w:r w:rsidR="006F5FD0" w:rsidRPr="00250A48">
        <w:rPr>
          <w:sz w:val="22"/>
          <w:szCs w:val="22"/>
          <w:lang w:val="en-GB"/>
        </w:rPr>
        <w:t xml:space="preserve"> form</w:t>
      </w:r>
      <w:r w:rsidR="00087A72" w:rsidRPr="00250A48">
        <w:rPr>
          <w:sz w:val="22"/>
          <w:szCs w:val="22"/>
          <w:lang w:val="en-GB"/>
        </w:rPr>
        <w:t>)</w:t>
      </w:r>
      <w:r w:rsidR="00BE08EC" w:rsidRPr="00250A48">
        <w:rPr>
          <w:sz w:val="22"/>
          <w:szCs w:val="22"/>
          <w:lang w:val="en-GB"/>
        </w:rPr>
        <w:t xml:space="preserve">. The reference period which will be taken into account will be the last </w:t>
      </w:r>
      <w:r w:rsidR="00BE08EC">
        <w:rPr>
          <w:color w:val="000000"/>
          <w:sz w:val="22"/>
          <w:szCs w:val="22"/>
          <w:lang w:val="en-GB"/>
        </w:rPr>
        <w:t>three</w:t>
      </w:r>
      <w:r w:rsidR="00862885">
        <w:rPr>
          <w:color w:val="000000"/>
          <w:sz w:val="22"/>
          <w:szCs w:val="22"/>
          <w:lang w:val="en-GB"/>
        </w:rPr>
        <w:t xml:space="preserve"> years</w:t>
      </w:r>
      <w:r w:rsidR="00862885" w:rsidRPr="00250A48">
        <w:rPr>
          <w:sz w:val="22"/>
          <w:szCs w:val="22"/>
          <w:lang w:val="en-GB"/>
        </w:rPr>
        <w:t xml:space="preserve"> </w:t>
      </w:r>
      <w:r w:rsidR="00771F97" w:rsidRPr="00250A48">
        <w:rPr>
          <w:sz w:val="22"/>
          <w:szCs w:val="22"/>
          <w:lang w:val="en-GB"/>
        </w:rPr>
        <w:t>preceding the</w:t>
      </w:r>
      <w:r w:rsidR="00BE08EC" w:rsidRPr="00250A48">
        <w:rPr>
          <w:sz w:val="22"/>
          <w:szCs w:val="22"/>
          <w:lang w:val="en-GB"/>
        </w:rPr>
        <w:t xml:space="preserve"> submission deadline.</w:t>
      </w:r>
    </w:p>
    <w:p w14:paraId="65CB1726" w14:textId="1EF95F43" w:rsidR="00C94AA3" w:rsidRPr="00250A48" w:rsidRDefault="00BE783C" w:rsidP="00250A48">
      <w:pPr>
        <w:pStyle w:val="Blockquote"/>
        <w:numPr>
          <w:ilvl w:val="0"/>
          <w:numId w:val="34"/>
        </w:numPr>
        <w:shd w:val="clear" w:color="auto" w:fill="FFFFFF"/>
        <w:tabs>
          <w:tab w:val="clear" w:pos="360"/>
          <w:tab w:val="left" w:pos="709"/>
        </w:tabs>
        <w:ind w:left="709" w:hanging="283"/>
        <w:jc w:val="both"/>
        <w:rPr>
          <w:sz w:val="22"/>
          <w:szCs w:val="22"/>
          <w:lang w:val="en-GB"/>
        </w:rPr>
      </w:pPr>
      <w:r w:rsidRPr="00250A48">
        <w:rPr>
          <w:sz w:val="22"/>
          <w:szCs w:val="22"/>
          <w:lang w:val="en-GB"/>
        </w:rPr>
        <w:t xml:space="preserve">the </w:t>
      </w:r>
      <w:r w:rsidR="00994EA3" w:rsidRPr="00250A48">
        <w:rPr>
          <w:sz w:val="22"/>
          <w:szCs w:val="22"/>
          <w:lang w:val="en-GB"/>
        </w:rPr>
        <w:t>tenderer</w:t>
      </w:r>
      <w:r w:rsidRPr="00250A48">
        <w:rPr>
          <w:sz w:val="22"/>
          <w:szCs w:val="22"/>
          <w:lang w:val="en-GB"/>
        </w:rPr>
        <w:t xml:space="preserve"> has </w:t>
      </w:r>
      <w:r w:rsidR="00E81C0B" w:rsidRPr="00250A48">
        <w:rPr>
          <w:sz w:val="22"/>
          <w:szCs w:val="22"/>
          <w:lang w:val="en-GB"/>
        </w:rPr>
        <w:t>delivered</w:t>
      </w:r>
      <w:r w:rsidR="006B5E5A" w:rsidRPr="00250A48">
        <w:rPr>
          <w:sz w:val="22"/>
          <w:szCs w:val="22"/>
          <w:lang w:val="en-GB"/>
        </w:rPr>
        <w:t xml:space="preserve"> similar</w:t>
      </w:r>
      <w:r w:rsidR="00E81C0B" w:rsidRPr="00250A48">
        <w:rPr>
          <w:sz w:val="22"/>
          <w:szCs w:val="22"/>
          <w:lang w:val="en-GB"/>
        </w:rPr>
        <w:t xml:space="preserve"> supplies</w:t>
      </w:r>
      <w:r w:rsidR="001661F7" w:rsidRPr="00250A48">
        <w:rPr>
          <w:sz w:val="22"/>
          <w:szCs w:val="22"/>
          <w:lang w:val="en-GB"/>
        </w:rPr>
        <w:t xml:space="preserve"> under </w:t>
      </w:r>
      <w:r w:rsidR="00C94AA3" w:rsidRPr="00250A48">
        <w:rPr>
          <w:sz w:val="22"/>
          <w:szCs w:val="22"/>
          <w:lang w:val="en-GB"/>
        </w:rPr>
        <w:t>a maximum of</w:t>
      </w:r>
      <w:r w:rsidRPr="00250A48">
        <w:rPr>
          <w:sz w:val="22"/>
          <w:szCs w:val="22"/>
          <w:lang w:val="en-GB"/>
        </w:rPr>
        <w:t xml:space="preserve"> </w:t>
      </w:r>
      <w:r w:rsidR="00B43A33">
        <w:rPr>
          <w:sz w:val="22"/>
          <w:szCs w:val="22"/>
          <w:lang w:val="en-GB"/>
        </w:rPr>
        <w:t>2</w:t>
      </w:r>
      <w:r w:rsidRPr="00250A48">
        <w:rPr>
          <w:sz w:val="22"/>
          <w:szCs w:val="22"/>
          <w:lang w:val="en-GB"/>
        </w:rPr>
        <w:t xml:space="preserve"> </w:t>
      </w:r>
      <w:r w:rsidR="001661F7" w:rsidRPr="00250A48">
        <w:rPr>
          <w:sz w:val="22"/>
          <w:szCs w:val="22"/>
          <w:lang w:val="en-GB"/>
        </w:rPr>
        <w:t>contract</w:t>
      </w:r>
      <w:r w:rsidRPr="00250A48">
        <w:rPr>
          <w:sz w:val="22"/>
          <w:szCs w:val="22"/>
          <w:lang w:val="en-GB"/>
        </w:rPr>
        <w:t>s with a</w:t>
      </w:r>
      <w:r w:rsidR="00C94AA3" w:rsidRPr="00250A48">
        <w:rPr>
          <w:sz w:val="22"/>
          <w:szCs w:val="22"/>
          <w:lang w:val="en-GB"/>
        </w:rPr>
        <w:t xml:space="preserve"> cummulative</w:t>
      </w:r>
      <w:r w:rsidRPr="00250A48">
        <w:rPr>
          <w:sz w:val="22"/>
          <w:szCs w:val="22"/>
          <w:lang w:val="en-GB"/>
        </w:rPr>
        <w:t xml:space="preserve"> </w:t>
      </w:r>
      <w:r w:rsidR="00C94AA3" w:rsidRPr="00250A48">
        <w:rPr>
          <w:sz w:val="22"/>
          <w:szCs w:val="22"/>
          <w:lang w:val="en-GB"/>
        </w:rPr>
        <w:t>value/</w:t>
      </w:r>
      <w:r w:rsidRPr="00250A48">
        <w:rPr>
          <w:sz w:val="22"/>
          <w:szCs w:val="22"/>
          <w:lang w:val="en-GB"/>
        </w:rPr>
        <w:t>budget of at least that of this contract</w:t>
      </w:r>
      <w:r w:rsidR="00C94AA3" w:rsidRPr="00250A48">
        <w:rPr>
          <w:sz w:val="22"/>
          <w:szCs w:val="22"/>
          <w:lang w:val="en-GB"/>
        </w:rPr>
        <w:t xml:space="preserve"> (i.e. the tenderer’s financial offer)</w:t>
      </w:r>
      <w:r w:rsidRPr="00250A48">
        <w:rPr>
          <w:sz w:val="22"/>
          <w:szCs w:val="22"/>
          <w:lang w:val="en-GB"/>
        </w:rPr>
        <w:t xml:space="preserve"> in </w:t>
      </w:r>
      <w:r w:rsidR="00C94AA3" w:rsidRPr="00250A48">
        <w:rPr>
          <w:sz w:val="22"/>
          <w:szCs w:val="22"/>
          <w:lang w:val="en-GB"/>
        </w:rPr>
        <w:t>fields related to this contract</w:t>
      </w:r>
      <w:r w:rsidR="001661F7" w:rsidRPr="00250A48">
        <w:rPr>
          <w:sz w:val="22"/>
          <w:szCs w:val="22"/>
          <w:lang w:val="en-GB"/>
        </w:rPr>
        <w:t xml:space="preserve">  which was</w:t>
      </w:r>
      <w:r w:rsidR="00C94AA3" w:rsidRPr="00250A48">
        <w:rPr>
          <w:sz w:val="22"/>
          <w:szCs w:val="22"/>
          <w:lang w:val="en-GB"/>
        </w:rPr>
        <w:t>/</w:t>
      </w:r>
      <w:r w:rsidR="001661F7" w:rsidRPr="00250A48">
        <w:rPr>
          <w:sz w:val="22"/>
          <w:szCs w:val="22"/>
          <w:lang w:val="en-GB"/>
        </w:rPr>
        <w:t xml:space="preserve">were implemented at any moment </w:t>
      </w:r>
      <w:r w:rsidR="00C94AA3" w:rsidRPr="00250A48">
        <w:rPr>
          <w:sz w:val="22"/>
          <w:szCs w:val="22"/>
          <w:lang w:val="en-GB"/>
        </w:rPr>
        <w:t>within 3 years up to the point of the tender submission date</w:t>
      </w:r>
      <w:r w:rsidR="00016694" w:rsidRPr="00250A48">
        <w:rPr>
          <w:sz w:val="22"/>
          <w:szCs w:val="22"/>
          <w:lang w:val="en-GB"/>
        </w:rPr>
        <w:t xml:space="preserve"> (point 18)</w:t>
      </w:r>
      <w:r w:rsidR="00A06FA5">
        <w:rPr>
          <w:sz w:val="22"/>
          <w:szCs w:val="22"/>
          <w:lang w:val="en-GB"/>
        </w:rPr>
        <w:t xml:space="preserve"> – </w:t>
      </w:r>
      <w:r w:rsidR="0043017C">
        <w:rPr>
          <w:sz w:val="22"/>
          <w:szCs w:val="22"/>
          <w:lang w:val="en-GB"/>
        </w:rPr>
        <w:t xml:space="preserve">which means that tenderer </w:t>
      </w:r>
      <w:r w:rsidR="0043017C" w:rsidRPr="0043017C">
        <w:rPr>
          <w:sz w:val="22"/>
          <w:szCs w:val="22"/>
          <w:lang w:val="en-GB"/>
        </w:rPr>
        <w:t xml:space="preserve">already owns a ready-made </w:t>
      </w:r>
      <w:r w:rsidR="0043017C">
        <w:rPr>
          <w:sz w:val="22"/>
          <w:szCs w:val="22"/>
          <w:lang w:val="en-GB"/>
        </w:rPr>
        <w:t xml:space="preserve">(out of the box/off the shelf) </w:t>
      </w:r>
      <w:r w:rsidR="0043017C" w:rsidRPr="0043017C">
        <w:rPr>
          <w:sz w:val="22"/>
          <w:szCs w:val="22"/>
          <w:lang w:val="en-GB"/>
        </w:rPr>
        <w:t>solution that is identical</w:t>
      </w:r>
      <w:r w:rsidR="00A06FA5">
        <w:rPr>
          <w:sz w:val="22"/>
          <w:szCs w:val="22"/>
          <w:lang w:val="en-GB"/>
        </w:rPr>
        <w:t xml:space="preserve"> equipment (or similar but can be adapted to the needs)</w:t>
      </w:r>
      <w:r w:rsidR="0043017C" w:rsidRPr="0043017C">
        <w:rPr>
          <w:sz w:val="22"/>
          <w:szCs w:val="22"/>
          <w:lang w:val="en-GB"/>
        </w:rPr>
        <w:t xml:space="preserve"> to the described </w:t>
      </w:r>
      <w:r w:rsidR="00E862DF">
        <w:rPr>
          <w:sz w:val="22"/>
          <w:szCs w:val="22"/>
          <w:lang w:val="en-GB"/>
        </w:rPr>
        <w:t xml:space="preserve">types </w:t>
      </w:r>
      <w:r w:rsidR="00A06FA5">
        <w:rPr>
          <w:sz w:val="22"/>
          <w:szCs w:val="22"/>
          <w:lang w:val="en-GB"/>
        </w:rPr>
        <w:t xml:space="preserve">of equipment (in the </w:t>
      </w:r>
      <w:r w:rsidR="00A06FA5" w:rsidRPr="00A06FA5">
        <w:rPr>
          <w:sz w:val="22"/>
          <w:szCs w:val="22"/>
          <w:lang w:val="en-GB"/>
        </w:rPr>
        <w:t>c4f_annexiitechspeciiitechoffer_en</w:t>
      </w:r>
      <w:r w:rsidR="00A06FA5">
        <w:rPr>
          <w:sz w:val="22"/>
          <w:szCs w:val="22"/>
          <w:lang w:val="en-GB"/>
        </w:rPr>
        <w:t>)</w:t>
      </w:r>
      <w:r w:rsidR="0043017C" w:rsidRPr="0043017C">
        <w:rPr>
          <w:sz w:val="22"/>
          <w:szCs w:val="22"/>
          <w:lang w:val="en-GB"/>
        </w:rPr>
        <w:t xml:space="preserve"> and has previously used this software for another client.</w:t>
      </w:r>
    </w:p>
    <w:p w14:paraId="67053663" w14:textId="77777777" w:rsidR="00CB2A5B" w:rsidRDefault="00CB2A5B" w:rsidP="008660AD">
      <w:pPr>
        <w:pStyle w:val="Blockquote"/>
        <w:tabs>
          <w:tab w:val="left" w:pos="284"/>
        </w:tabs>
        <w:jc w:val="both"/>
        <w:rPr>
          <w:sz w:val="22"/>
          <w:szCs w:val="22"/>
          <w:lang w:val="en-GB"/>
        </w:rPr>
      </w:pPr>
      <w:r w:rsidRPr="00CB2A5B">
        <w:rPr>
          <w:sz w:val="22"/>
          <w:szCs w:val="22"/>
          <w:lang w:val="en-GB"/>
        </w:rPr>
        <w:t xml:space="preserve">This means that the  contract the tenderer refers to could have been started at any time during the indicated period but it does not necessarily have to be completed during that period, nor implemented during the entire period. Tenderers are allowed to refer either to supply contracts completed within the reference period (although started earlier) or to supply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supply contract in a consortium, the percentage that the tenderer has successfully completed must be clear from the documentary evidence, together with a description of the nature of the supplies provided if the selection criteria relating to the pertinence </w:t>
      </w:r>
      <w:r w:rsidRPr="00CB2A5B">
        <w:rPr>
          <w:sz w:val="22"/>
          <w:szCs w:val="22"/>
          <w:lang w:val="en-GB"/>
        </w:rPr>
        <w:lastRenderedPageBreak/>
        <w:t>of the experience have been used.</w:t>
      </w:r>
    </w:p>
    <w:p w14:paraId="15683C0B" w14:textId="77777777" w:rsidR="00781603" w:rsidRPr="008660AD" w:rsidRDefault="00781603" w:rsidP="008660AD">
      <w:pPr>
        <w:pStyle w:val="Blockquote"/>
        <w:spacing w:before="0"/>
        <w:ind w:right="357"/>
        <w:jc w:val="both"/>
        <w:rPr>
          <w:sz w:val="22"/>
          <w:szCs w:val="22"/>
        </w:rPr>
      </w:pPr>
    </w:p>
    <w:p w14:paraId="51B1F72F" w14:textId="77777777" w:rsidR="004F00C7" w:rsidRPr="00B33EE6" w:rsidRDefault="004F00C7" w:rsidP="008660AD">
      <w:pPr>
        <w:pStyle w:val="Blockquote"/>
        <w:ind w:left="0"/>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6FE5E2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576FDB42" w14:textId="5CE4BD9E" w:rsidR="006F5FD0" w:rsidRPr="00B33EE6" w:rsidRDefault="00831982" w:rsidP="0007067C">
      <w:pPr>
        <w:pStyle w:val="Blockquote"/>
        <w:ind w:left="426" w:right="1"/>
        <w:jc w:val="both"/>
        <w:rPr>
          <w:sz w:val="22"/>
          <w:szCs w:val="22"/>
          <w:lang w:val="en-GB"/>
        </w:rPr>
      </w:pPr>
      <w:r w:rsidRPr="003F1149">
        <w:rPr>
          <w:sz w:val="22"/>
          <w:szCs w:val="22"/>
          <w:lang w:val="en-GB"/>
        </w:rPr>
        <w:t xml:space="preserve">Price </w:t>
      </w:r>
      <w:r>
        <w:rPr>
          <w:sz w:val="22"/>
          <w:szCs w:val="22"/>
          <w:lang w:val="en-GB"/>
        </w:rPr>
        <w:t>(</w:t>
      </w:r>
      <w:r w:rsidRPr="003F1149">
        <w:rPr>
          <w:sz w:val="22"/>
          <w:szCs w:val="22"/>
          <w:lang w:val="en-GB"/>
        </w:rPr>
        <w:t>or, if appropriate after</w:t>
      </w:r>
      <w:r>
        <w:rPr>
          <w:sz w:val="22"/>
          <w:szCs w:val="22"/>
          <w:lang w:val="en-GB"/>
        </w:rPr>
        <w:t xml:space="preserve"> </w:t>
      </w:r>
      <w:r w:rsidRPr="00D7474F">
        <w:rPr>
          <w:sz w:val="22"/>
          <w:szCs w:val="22"/>
          <w:lang w:val="en-GB"/>
        </w:rPr>
        <w:t>prior approval</w:t>
      </w:r>
      <w:r w:rsidRPr="003F1149">
        <w:rPr>
          <w:sz w:val="22"/>
          <w:szCs w:val="22"/>
          <w:lang w:val="en-GB"/>
        </w:rPr>
        <w:t xml:space="preserve">, the </w:t>
      </w:r>
      <w:r>
        <w:rPr>
          <w:sz w:val="22"/>
          <w:szCs w:val="22"/>
          <w:lang w:val="en-GB"/>
        </w:rPr>
        <w:t xml:space="preserve">best </w:t>
      </w:r>
      <w:r w:rsidRPr="00B619CC">
        <w:rPr>
          <w:lang w:val="en-GB"/>
        </w:rPr>
        <w:t>price-quality ratio</w:t>
      </w:r>
      <w:r w:rsidRPr="0044555C">
        <w:rPr>
          <w:lang w:val="en-GB"/>
        </w:rPr>
        <w:t xml:space="preserve"> </w:t>
      </w:r>
      <w:r w:rsidRPr="003F1149">
        <w:rPr>
          <w:sz w:val="22"/>
          <w:szCs w:val="22"/>
          <w:lang w:val="en-GB"/>
        </w:rPr>
        <w:t>which is a combination of quality</w:t>
      </w:r>
      <w:r>
        <w:rPr>
          <w:sz w:val="22"/>
          <w:szCs w:val="22"/>
          <w:lang w:val="en-GB"/>
        </w:rPr>
        <w:t xml:space="preserve"> and </w:t>
      </w:r>
      <w:r w:rsidRPr="003F1149">
        <w:rPr>
          <w:sz w:val="22"/>
          <w:szCs w:val="22"/>
          <w:lang w:val="en-GB"/>
        </w:rPr>
        <w:t>price</w:t>
      </w:r>
      <w:r>
        <w:rPr>
          <w:sz w:val="22"/>
          <w:szCs w:val="22"/>
          <w:lang w:val="en-GB"/>
        </w:rPr>
        <w:t>).</w:t>
      </w:r>
    </w:p>
    <w:p w14:paraId="793B56EE" w14:textId="77777777" w:rsidR="006F5FD0" w:rsidRPr="00B33EE6" w:rsidRDefault="00000000">
      <w:pPr>
        <w:rPr>
          <w:sz w:val="22"/>
          <w:szCs w:val="22"/>
          <w:lang w:val="en-GB"/>
        </w:rPr>
      </w:pPr>
      <w:r>
        <w:rPr>
          <w:snapToGrid/>
          <w:sz w:val="22"/>
          <w:szCs w:val="22"/>
          <w:lang w:val="en-GB"/>
        </w:rPr>
        <w:pict w14:anchorId="45BE0657">
          <v:line id="_x0000_s2050" alt="" style="position:absolute;z-index:5;mso-wrap-edited:f;mso-width-percent:0;mso-height-percent:0;mso-width-percent:0;mso-height-percent:0" from="0,12pt" to="468pt,12.05pt" o:allowincell="f" strokecolor="#d4d4d4" strokeweight="1.75pt">
            <v:shadow on="t" origin=",32385f" offset="0,-1pt"/>
          </v:line>
        </w:pic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6D56D003"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w:t>
      </w:r>
      <w:r w:rsidRPr="00136190">
        <w:rPr>
          <w:rStyle w:val="Emphasis"/>
          <w:i w:val="0"/>
          <w:sz w:val="22"/>
          <w:szCs w:val="22"/>
          <w:lang w:val="en-GB"/>
        </w:rPr>
        <w:t xml:space="preserve">is </w:t>
      </w:r>
      <w:r w:rsidR="004F3661" w:rsidRPr="00734C1F">
        <w:rPr>
          <w:b/>
          <w:bCs/>
          <w:sz w:val="21"/>
          <w:szCs w:val="21"/>
          <w:u w:val="single"/>
        </w:rPr>
        <w:t xml:space="preserve">June </w:t>
      </w:r>
      <w:r w:rsidR="00DE65C7" w:rsidRPr="00734C1F">
        <w:rPr>
          <w:b/>
          <w:bCs/>
          <w:sz w:val="21"/>
          <w:szCs w:val="21"/>
          <w:u w:val="single"/>
        </w:rPr>
        <w:t>1</w:t>
      </w:r>
      <w:r w:rsidR="00215C7F">
        <w:rPr>
          <w:b/>
          <w:bCs/>
          <w:sz w:val="21"/>
          <w:szCs w:val="21"/>
          <w:u w:val="single"/>
        </w:rPr>
        <w:t>6</w:t>
      </w:r>
      <w:r w:rsidR="00DE65C7" w:rsidRPr="00734C1F">
        <w:rPr>
          <w:b/>
          <w:bCs/>
          <w:sz w:val="21"/>
          <w:szCs w:val="21"/>
          <w:u w:val="single"/>
          <w:vertAlign w:val="superscript"/>
        </w:rPr>
        <w:t>th</w:t>
      </w:r>
      <w:r w:rsidR="00DE65C7" w:rsidRPr="00734C1F">
        <w:rPr>
          <w:b/>
          <w:bCs/>
          <w:sz w:val="21"/>
          <w:szCs w:val="21"/>
          <w:u w:val="single"/>
        </w:rPr>
        <w:t xml:space="preserve"> </w:t>
      </w:r>
      <w:r w:rsidR="004F3661" w:rsidRPr="00734C1F">
        <w:rPr>
          <w:b/>
          <w:bCs/>
          <w:sz w:val="21"/>
          <w:szCs w:val="21"/>
          <w:u w:val="single"/>
        </w:rPr>
        <w:t>2025, 14:00 C.E.T.</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F402B76"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771F85">
        <w:rPr>
          <w:rStyle w:val="Strong"/>
          <w:b w:val="0"/>
          <w:sz w:val="22"/>
          <w:szCs w:val="22"/>
          <w:lang w:val="en-GB"/>
        </w:rPr>
        <w:t>.</w:t>
      </w:r>
      <w:r w:rsidR="006F5FD0" w:rsidRPr="00B33EE6">
        <w:rPr>
          <w:sz w:val="22"/>
          <w:szCs w:val="22"/>
          <w:lang w:val="en-GB"/>
        </w:rPr>
        <w:t xml:space="preserve">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6646FBA2" w:rsidR="004D5EDB" w:rsidRPr="00886ED7" w:rsidRDefault="00886ED7" w:rsidP="004D5EDB">
      <w:pPr>
        <w:pStyle w:val="Blockquote"/>
        <w:jc w:val="both"/>
        <w:rPr>
          <w:sz w:val="22"/>
          <w:szCs w:val="22"/>
          <w:lang w:val="en-GB"/>
        </w:rPr>
      </w:pPr>
      <w:r w:rsidRPr="002E25ED">
        <w:rPr>
          <w:sz w:val="22"/>
          <w:szCs w:val="22"/>
          <w:lang w:val="en-GB"/>
        </w:rPr>
        <w:t xml:space="preserve"> </w:t>
      </w:r>
      <w:hyperlink r:id="rId17" w:anchor="Annexes-AnnexesA(Ch.2):General" w:history="1">
        <w:r w:rsidRPr="002E25ED">
          <w:rPr>
            <w:rStyle w:val="Hyperlink"/>
            <w:sz w:val="22"/>
            <w:szCs w:val="22"/>
            <w:lang w:val="en-GB"/>
          </w:rPr>
          <w:t>https://wikis.ec.europa.eu/display/ExactExternalWiki/Annexes#Annexes-AnnexesA(Ch.2):General</w:t>
        </w:r>
      </w:hyperlink>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5BD0520A"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w:t>
      </w:r>
      <w:r w:rsidR="00771F85">
        <w:rPr>
          <w:sz w:val="22"/>
          <w:szCs w:val="22"/>
          <w:lang w:val="en-GB"/>
        </w:rPr>
        <w:t>10</w:t>
      </w:r>
      <w:r w:rsidRPr="00B33EE6">
        <w:rPr>
          <w:sz w:val="22"/>
          <w:szCs w:val="22"/>
          <w:lang w:val="en-GB"/>
        </w:rPr>
        <w:t xml:space="preserve">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36DD3BEA"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771F85">
        <w:rPr>
          <w:sz w:val="22"/>
          <w:szCs w:val="22"/>
          <w:lang w:val="en-GB"/>
        </w:rPr>
        <w:t>15</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Default="006F5FD0">
      <w:pPr>
        <w:pStyle w:val="Blockquote"/>
        <w:jc w:val="both"/>
        <w:rPr>
          <w:rStyle w:val="Emphasis"/>
          <w:i w:val="0"/>
          <w:sz w:val="22"/>
          <w:szCs w:val="22"/>
          <w:lang w:val="en-GB"/>
        </w:rPr>
      </w:pPr>
      <w:r w:rsidRPr="00B33EE6">
        <w:rPr>
          <w:rStyle w:val="Emphasis"/>
          <w:i w:val="0"/>
          <w:sz w:val="22"/>
          <w:szCs w:val="22"/>
          <w:lang w:val="en-GB"/>
        </w:rPr>
        <w:t xml:space="preserve">All written communications for this tender procedure and contract must be in English.  </w:t>
      </w:r>
    </w:p>
    <w:p w14:paraId="79CB874A" w14:textId="77777777" w:rsidR="00295F63" w:rsidRPr="00B33EE6" w:rsidRDefault="00295F63">
      <w:pPr>
        <w:pStyle w:val="Blockquote"/>
        <w:jc w:val="both"/>
        <w:rPr>
          <w:i/>
          <w:sz w:val="22"/>
          <w:szCs w:val="22"/>
          <w:lang w:val="en-GB"/>
        </w:rPr>
      </w:pPr>
    </w:p>
    <w:p w14:paraId="38DC66B2" w14:textId="6C262863" w:rsidR="00E9047D" w:rsidRPr="00F9055E" w:rsidRDefault="00326B16" w:rsidP="00E9047D">
      <w:pPr>
        <w:pStyle w:val="Blockquote"/>
        <w:jc w:val="both"/>
        <w:rPr>
          <w:b/>
          <w:sz w:val="22"/>
          <w:szCs w:val="22"/>
          <w:lang w:val="en-GB"/>
        </w:rPr>
      </w:pPr>
      <w:r>
        <w:rPr>
          <w:b/>
          <w:sz w:val="22"/>
          <w:szCs w:val="22"/>
          <w:lang w:val="en-GB"/>
        </w:rPr>
        <w:lastRenderedPageBreak/>
        <w:t>23</w:t>
      </w:r>
      <w:r w:rsidR="008272C0" w:rsidRPr="00F9055E">
        <w:rPr>
          <w:b/>
          <w:sz w:val="22"/>
          <w:szCs w:val="22"/>
          <w:lang w:val="en-GB"/>
        </w:rPr>
        <w:t xml:space="preserve">. </w:t>
      </w:r>
      <w:r w:rsidR="00E9047D" w:rsidRPr="00F9055E">
        <w:rPr>
          <w:b/>
          <w:sz w:val="22"/>
          <w:szCs w:val="22"/>
          <w:lang w:val="en-GB"/>
        </w:rPr>
        <w:t>Additional information</w:t>
      </w:r>
    </w:p>
    <w:p w14:paraId="24CAA250" w14:textId="77777777" w:rsidR="00CA2D2A" w:rsidRDefault="00AF412E" w:rsidP="00CA2D2A">
      <w:pPr>
        <w:widowControl/>
        <w:snapToGrid w:val="0"/>
        <w:spacing w:after="0"/>
        <w:ind w:left="284" w:right="360"/>
        <w:jc w:val="both"/>
        <w:rPr>
          <w:sz w:val="22"/>
          <w:szCs w:val="22"/>
          <w:lang w:val="en-GB"/>
        </w:rPr>
      </w:pPr>
      <w:r w:rsidRPr="006B5E5A">
        <w:rPr>
          <w:sz w:val="22"/>
          <w:szCs w:val="22"/>
          <w:lang w:val="en-GB"/>
        </w:rPr>
        <w:t>Financial data to be provided by the candidate in the standard application form  must be expressed in</w:t>
      </w:r>
      <w:r w:rsidR="00CA2D2A" w:rsidRPr="006B5E5A">
        <w:rPr>
          <w:sz w:val="22"/>
          <w:szCs w:val="22"/>
          <w:lang w:val="en-GB"/>
        </w:rPr>
        <w:t xml:space="preserve"> </w:t>
      </w:r>
      <w:r w:rsidRPr="006B5E5A">
        <w:rPr>
          <w:sz w:val="22"/>
          <w:szCs w:val="22"/>
          <w:lang w:val="en-GB"/>
        </w:rPr>
        <w:t xml:space="preserve">EUR </w:t>
      </w:r>
      <w:r w:rsidR="00CA2D2A" w:rsidRPr="006B5E5A">
        <w:rPr>
          <w:sz w:val="22"/>
          <w:szCs w:val="22"/>
          <w:lang w:val="en-GB"/>
        </w:rPr>
        <w:t>or RSD</w:t>
      </w:r>
      <w:r w:rsidRPr="006B5E5A">
        <w:rPr>
          <w:sz w:val="22"/>
          <w:szCs w:val="22"/>
          <w:lang w:val="en-GB"/>
        </w:rPr>
        <w:t xml:space="preserve"> If applicable, where a candidate refers to amounts originally expressed in a different currency, the conversion </w:t>
      </w:r>
      <w:r w:rsidR="00CA2D2A" w:rsidRPr="006B5E5A">
        <w:rPr>
          <w:sz w:val="22"/>
          <w:szCs w:val="22"/>
          <w:lang w:val="en-GB"/>
        </w:rPr>
        <w:t>RSD</w:t>
      </w:r>
      <w:r w:rsidRPr="006B5E5A">
        <w:rPr>
          <w:sz w:val="22"/>
          <w:szCs w:val="22"/>
          <w:lang w:val="en-GB"/>
        </w:rPr>
        <w:t xml:space="preserve"> shall be made in accordance with the InforEuro exchange rate of</w:t>
      </w:r>
      <w:r w:rsidR="00CA2D2A" w:rsidRPr="006B5E5A">
        <w:rPr>
          <w:sz w:val="22"/>
          <w:szCs w:val="22"/>
          <w:lang w:val="en-GB"/>
        </w:rPr>
        <w:t xml:space="preserve"> </w:t>
      </w:r>
      <w:r w:rsidR="00CA2D2A" w:rsidRPr="006B5E5A">
        <w:rPr>
          <w:b/>
          <w:bCs/>
          <w:sz w:val="22"/>
          <w:szCs w:val="22"/>
          <w:lang w:val="en-GB"/>
        </w:rPr>
        <w:t>MAY 2025</w:t>
      </w:r>
      <w:r w:rsidRPr="006B5E5A">
        <w:rPr>
          <w:b/>
          <w:sz w:val="22"/>
          <w:szCs w:val="22"/>
          <w:lang w:val="en-GB"/>
        </w:rPr>
        <w:t xml:space="preserve"> </w:t>
      </w:r>
      <w:r w:rsidRPr="006B5E5A">
        <w:rPr>
          <w:sz w:val="22"/>
          <w:szCs w:val="22"/>
          <w:lang w:val="en-GB"/>
        </w:rPr>
        <w:t xml:space="preserve">of the applicable InforEuro exchange rate, which can be found at the following address: </w:t>
      </w:r>
      <w:hyperlink r:id="rId18" w:history="1">
        <w:r w:rsidRPr="006B5E5A">
          <w:rPr>
            <w:rStyle w:val="Hyperlink"/>
            <w:sz w:val="22"/>
            <w:szCs w:val="22"/>
            <w:lang w:val="en-GB"/>
          </w:rPr>
          <w:t>http://ec.europa.eu/budget/graphs/inforeuro.html</w:t>
        </w:r>
      </w:hyperlink>
      <w:r w:rsidRPr="006B5E5A">
        <w:rPr>
          <w:sz w:val="22"/>
          <w:szCs w:val="22"/>
          <w:lang w:val="en-GB"/>
        </w:rPr>
        <w:t>.</w:t>
      </w:r>
    </w:p>
    <w:p w14:paraId="3444D65F" w14:textId="6C618E07" w:rsidR="00CA2D2A" w:rsidRPr="00C434D5" w:rsidRDefault="00CA2D2A" w:rsidP="00CA2D2A">
      <w:pPr>
        <w:widowControl/>
        <w:snapToGrid w:val="0"/>
        <w:spacing w:after="0"/>
        <w:ind w:left="284" w:right="360"/>
        <w:jc w:val="both"/>
        <w:rPr>
          <w:sz w:val="22"/>
          <w:szCs w:val="22"/>
          <w:lang w:val="en-GB"/>
        </w:rPr>
      </w:pPr>
      <w:r>
        <w:rPr>
          <w:sz w:val="22"/>
          <w:szCs w:val="22"/>
          <w:lang w:val="en-GB"/>
        </w:rPr>
        <w:br/>
      </w:r>
      <w:r w:rsidRPr="006B0BD3">
        <w:rPr>
          <w:sz w:val="22"/>
          <w:szCs w:val="22"/>
          <w:lang w:val="en-GB"/>
        </w:rPr>
        <w:t xml:space="preserve">NOTE: For legal entities based in the Republic of Serbia, payments will be made in RSD. </w:t>
      </w:r>
      <w:r w:rsidR="00D8540F" w:rsidRPr="006B0BD3">
        <w:rPr>
          <w:sz w:val="22"/>
          <w:szCs w:val="22"/>
        </w:rPr>
        <w:t xml:space="preserve">In such cases, </w:t>
      </w:r>
      <w:r w:rsidRPr="006B0BD3">
        <w:rPr>
          <w:sz w:val="22"/>
          <w:szCs w:val="22"/>
        </w:rPr>
        <w:t>when payments should be made in RSD, but in case the Conractor stated its financial offer in EUR, the applicable exchange rate will be InforEuro exchange rate for the month of issuing Invoice.</w:t>
      </w:r>
      <w:r w:rsidRPr="00C434D5">
        <w:rPr>
          <w:sz w:val="22"/>
          <w:szCs w:val="22"/>
        </w:rPr>
        <w:t xml:space="preserve"> </w:t>
      </w:r>
    </w:p>
    <w:p w14:paraId="57DDD518" w14:textId="7444EB4F" w:rsidR="00C5249F" w:rsidRPr="0087216F" w:rsidRDefault="00C5249F" w:rsidP="00295F63">
      <w:pPr>
        <w:pStyle w:val="Blockquote"/>
        <w:ind w:left="0" w:firstLine="720"/>
        <w:jc w:val="both"/>
        <w:rPr>
          <w:b/>
          <w:bCs/>
          <w:sz w:val="21"/>
          <w:szCs w:val="21"/>
          <w:lang w:val="en-GB"/>
        </w:rPr>
      </w:pPr>
      <w:r w:rsidRPr="0087216F">
        <w:rPr>
          <w:b/>
          <w:bCs/>
          <w:sz w:val="21"/>
          <w:szCs w:val="21"/>
          <w:lang w:val="en-GB"/>
        </w:rPr>
        <w:t xml:space="preserve">BACKGROUND </w:t>
      </w:r>
    </w:p>
    <w:p w14:paraId="679EBBA1" w14:textId="0DB1AB1A" w:rsidR="00C5249F" w:rsidRPr="0087216F" w:rsidRDefault="00C5249F" w:rsidP="00295F63">
      <w:pPr>
        <w:pStyle w:val="Blockquote"/>
        <w:ind w:left="0" w:firstLine="720"/>
        <w:jc w:val="both"/>
        <w:rPr>
          <w:b/>
          <w:bCs/>
          <w:sz w:val="21"/>
          <w:szCs w:val="21"/>
          <w:lang w:val="en-GB"/>
        </w:rPr>
      </w:pPr>
      <w:r w:rsidRPr="0087216F">
        <w:rPr>
          <w:b/>
          <w:bCs/>
          <w:sz w:val="21"/>
          <w:szCs w:val="21"/>
          <w:lang w:val="en-GB"/>
        </w:rPr>
        <w:t>The purpose of these supplies under point 7. is the following:</w:t>
      </w:r>
    </w:p>
    <w:p w14:paraId="4F90FE62" w14:textId="77777777" w:rsidR="00C5249F" w:rsidRPr="0087216F" w:rsidRDefault="00C5249F" w:rsidP="00C5249F">
      <w:pPr>
        <w:pStyle w:val="Blockquote"/>
        <w:ind w:left="284"/>
        <w:jc w:val="both"/>
        <w:rPr>
          <w:sz w:val="21"/>
          <w:szCs w:val="21"/>
          <w:lang w:val="en-GB"/>
        </w:rPr>
      </w:pPr>
      <w:r w:rsidRPr="0087216F">
        <w:rPr>
          <w:sz w:val="21"/>
          <w:szCs w:val="21"/>
          <w:lang w:val="en-GB"/>
        </w:rPr>
        <w:t>The main objective is to create a cultural and local history portal (Banat Heritage Portal), easily accessible to lay end-users and tourists, with additional information and comprehensible content, by integrating the digital content of the Contracting Authority and the project partner, which will present the traditions of the once complete Banat region, recorded in tangible, written or any other form, over the last more than a century.</w:t>
      </w:r>
    </w:p>
    <w:p w14:paraId="087BC8DA" w14:textId="77777777" w:rsidR="00C5249F" w:rsidRPr="0087216F" w:rsidRDefault="00C5249F" w:rsidP="00C5249F">
      <w:pPr>
        <w:pStyle w:val="Blockquote"/>
        <w:ind w:left="284"/>
        <w:jc w:val="both"/>
        <w:rPr>
          <w:sz w:val="21"/>
          <w:szCs w:val="21"/>
          <w:lang w:val="en-GB"/>
        </w:rPr>
      </w:pPr>
      <w:r w:rsidRPr="0087216F">
        <w:rPr>
          <w:sz w:val="21"/>
          <w:szCs w:val="21"/>
          <w:lang w:val="en-GB"/>
        </w:rPr>
        <w:t>The portal is designed to offer a set of digital tools - digital makerspace - for the targeted communities. The digital makerspace will help the involved contributors to digitize, publish and re- use valuable content about the heritage of Banat.</w:t>
      </w:r>
    </w:p>
    <w:p w14:paraId="0FD4FF1B" w14:textId="77777777" w:rsidR="00C5249F" w:rsidRPr="0087216F" w:rsidRDefault="00C5249F" w:rsidP="00C5249F">
      <w:pPr>
        <w:pStyle w:val="Blockquote"/>
        <w:ind w:left="284"/>
        <w:jc w:val="both"/>
        <w:rPr>
          <w:sz w:val="21"/>
          <w:szCs w:val="21"/>
          <w:lang w:val="en-GB"/>
        </w:rPr>
      </w:pPr>
      <w:r w:rsidRPr="0087216F">
        <w:rPr>
          <w:sz w:val="21"/>
          <w:szCs w:val="21"/>
          <w:lang w:val="en-GB"/>
        </w:rPr>
        <w:t>In order to create a solid database that is compatible with international public collection standards (MARC21, LIDO) data and digital content transformation and aggregation is needed. The data transformation to the standards will significantly lower the risk of data degradation and advance the long-term preservation goals.</w:t>
      </w:r>
    </w:p>
    <w:p w14:paraId="794B7337" w14:textId="63DDA6ED" w:rsidR="00C5249F" w:rsidRPr="0087216F" w:rsidRDefault="00C5249F" w:rsidP="00C5249F">
      <w:pPr>
        <w:pStyle w:val="Blockquote"/>
        <w:ind w:left="284"/>
        <w:jc w:val="both"/>
        <w:rPr>
          <w:sz w:val="21"/>
          <w:szCs w:val="21"/>
          <w:lang w:val="en-GB"/>
        </w:rPr>
      </w:pPr>
      <w:r w:rsidRPr="0087216F">
        <w:rPr>
          <w:sz w:val="21"/>
          <w:szCs w:val="21"/>
          <w:lang w:val="en-GB"/>
        </w:rPr>
        <w:t>Currently, there are multiple systems used</w:t>
      </w:r>
      <w:r w:rsidR="00D6772B">
        <w:rPr>
          <w:sz w:val="21"/>
          <w:szCs w:val="21"/>
          <w:lang w:val="en-GB"/>
        </w:rPr>
        <w:t xml:space="preserve"> at the project partners’ </w:t>
      </w:r>
      <w:r w:rsidRPr="0087216F">
        <w:rPr>
          <w:sz w:val="21"/>
          <w:szCs w:val="21"/>
          <w:lang w:val="en-GB"/>
        </w:rPr>
        <w:t>to maintain heritage data and content (</w:t>
      </w:r>
      <w:r w:rsidR="00D6772B">
        <w:rPr>
          <w:sz w:val="21"/>
          <w:szCs w:val="21"/>
          <w:lang w:val="en-GB"/>
        </w:rPr>
        <w:t>see reference: vamadia.rs</w:t>
      </w:r>
      <w:r w:rsidRPr="0087216F">
        <w:rPr>
          <w:sz w:val="21"/>
          <w:szCs w:val="21"/>
          <w:lang w:val="en-GB"/>
        </w:rPr>
        <w:t>) these complementary datasets in their current way of operation were not designed to represent the whole and multicultural and multilingual historic Banat area. The solution to have the possibility to interconnect data and content from both sides of the border is to aggregate the data sources into a single repository solution.</w:t>
      </w:r>
    </w:p>
    <w:p w14:paraId="5E8FFEF6" w14:textId="35B4794A" w:rsidR="00C5249F" w:rsidRDefault="00C5249F" w:rsidP="00C5249F">
      <w:pPr>
        <w:pStyle w:val="Blockquote"/>
        <w:ind w:left="284"/>
        <w:jc w:val="both"/>
        <w:rPr>
          <w:color w:val="000000"/>
          <w:sz w:val="21"/>
          <w:szCs w:val="21"/>
          <w:lang w:val="en-GB"/>
        </w:rPr>
      </w:pPr>
      <w:r>
        <w:rPr>
          <w:color w:val="000000"/>
          <w:sz w:val="21"/>
          <w:szCs w:val="21"/>
          <w:lang w:val="en-GB"/>
        </w:rPr>
        <w:t>The sub-goal of the project is to further develop</w:t>
      </w:r>
      <w:r w:rsidR="00443462">
        <w:rPr>
          <w:color w:val="000000"/>
          <w:sz w:val="21"/>
          <w:szCs w:val="21"/>
          <w:lang w:val="en-GB"/>
        </w:rPr>
        <w:t xml:space="preserve"> both partners’ technological capacities</w:t>
      </w:r>
      <w:r>
        <w:rPr>
          <w:color w:val="000000"/>
          <w:sz w:val="21"/>
          <w:szCs w:val="21"/>
          <w:lang w:val="en-GB"/>
        </w:rPr>
        <w:t xml:space="preserve"> in order to enable more and more public collections in the Banat to directly participate in the enrichment of the database, thus providing more and more valuable cultural content for research, education and tourism.</w:t>
      </w:r>
    </w:p>
    <w:p w14:paraId="5535187B" w14:textId="77777777" w:rsidR="00C5249F" w:rsidRPr="0087216F" w:rsidRDefault="00C5249F" w:rsidP="00C5249F">
      <w:pPr>
        <w:pStyle w:val="Blockquote"/>
        <w:ind w:left="284"/>
        <w:jc w:val="both"/>
        <w:rPr>
          <w:sz w:val="21"/>
          <w:szCs w:val="21"/>
          <w:lang w:val="en-GB"/>
        </w:rPr>
      </w:pPr>
      <w:r w:rsidRPr="0087216F">
        <w:rPr>
          <w:sz w:val="21"/>
          <w:szCs w:val="21"/>
          <w:lang w:val="en-GB"/>
        </w:rPr>
        <w:t>Such an aggregation will allow the institutions to summon partnering institutions (local libraries, museums) and volunteers to take part in the data collection and curation process.</w:t>
      </w:r>
    </w:p>
    <w:p w14:paraId="4E222C3F" w14:textId="131D7694" w:rsidR="00C5249F" w:rsidRPr="0087216F" w:rsidRDefault="00C5249F" w:rsidP="00C5249F">
      <w:pPr>
        <w:pStyle w:val="Blockquote"/>
        <w:ind w:left="284"/>
        <w:jc w:val="both"/>
        <w:rPr>
          <w:sz w:val="21"/>
          <w:szCs w:val="21"/>
          <w:lang w:val="en-GB"/>
        </w:rPr>
      </w:pPr>
      <w:r w:rsidRPr="0087216F">
        <w:rPr>
          <w:sz w:val="21"/>
          <w:szCs w:val="21"/>
          <w:lang w:val="en-GB"/>
        </w:rPr>
        <w:t>The</w:t>
      </w:r>
      <w:r w:rsidR="002A6366">
        <w:rPr>
          <w:sz w:val="21"/>
          <w:szCs w:val="21"/>
          <w:lang w:val="en-GB"/>
        </w:rPr>
        <w:t xml:space="preserve">se pieces of supply under point 7 </w:t>
      </w:r>
      <w:r w:rsidRPr="0087216F">
        <w:rPr>
          <w:sz w:val="21"/>
          <w:szCs w:val="21"/>
          <w:lang w:val="en-GB"/>
        </w:rPr>
        <w:t xml:space="preserve"> </w:t>
      </w:r>
      <w:r w:rsidR="002A6366">
        <w:rPr>
          <w:sz w:val="21"/>
          <w:szCs w:val="21"/>
          <w:lang w:val="en-GB"/>
        </w:rPr>
        <w:t xml:space="preserve">will </w:t>
      </w:r>
      <w:r w:rsidRPr="0087216F">
        <w:rPr>
          <w:sz w:val="21"/>
          <w:szCs w:val="21"/>
          <w:lang w:val="en-GB"/>
        </w:rPr>
        <w:t>present unique and unique digital traditions that emphasize relationships, so the diversity of the region is also emphasized, thinking here about the natural, social and geographical diversity, which was also caused by the different development of the countries in the past decades. This duality, based on historical similarities, but also on differences due to different development, gives the strength of the development of a digital platform that jointly presents traditions.</w:t>
      </w:r>
    </w:p>
    <w:sectPr w:rsidR="00C5249F" w:rsidRPr="0087216F" w:rsidSect="00E147D3">
      <w:headerReference w:type="even" r:id="rId19"/>
      <w:headerReference w:type="default" r:id="rId20"/>
      <w:footerReference w:type="even" r:id="rId21"/>
      <w:footerReference w:type="default" r:id="rId22"/>
      <w:headerReference w:type="first" r:id="rId23"/>
      <w:footerReference w:type="first" r:id="rId24"/>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6349BA" w14:textId="77777777" w:rsidR="006C543F" w:rsidRDefault="006C543F">
      <w:r>
        <w:separator/>
      </w:r>
    </w:p>
  </w:endnote>
  <w:endnote w:type="continuationSeparator" w:id="0">
    <w:p w14:paraId="20EC2BAC" w14:textId="77777777" w:rsidR="006C543F" w:rsidRDefault="006C54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8F06A9" w14:textId="77777777" w:rsidR="00711A01" w:rsidRDefault="00711A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EBA12" w14:textId="06F328B4"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0B14E4">
      <w:rPr>
        <w:b/>
        <w:sz w:val="20"/>
      </w:rPr>
      <w:t>1</w:t>
    </w:r>
    <w:r w:rsidR="00711A01">
      <w:rPr>
        <w:b/>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2E25ED">
      <w:rPr>
        <w:rStyle w:val="PageNumber"/>
        <w:noProof/>
        <w:sz w:val="18"/>
        <w:szCs w:val="18"/>
        <w:lang w:val="en-GB"/>
      </w:rPr>
      <w:t>1</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2E25ED">
      <w:rPr>
        <w:rStyle w:val="PageNumber"/>
        <w:noProof/>
        <w:sz w:val="18"/>
        <w:szCs w:val="18"/>
        <w:lang w:val="en-GB"/>
      </w:rPr>
      <w:t>8</w:t>
    </w:r>
    <w:r w:rsidR="00B33EE6" w:rsidRPr="00B33EE6">
      <w:rPr>
        <w:rStyle w:val="PageNumber"/>
        <w:sz w:val="18"/>
        <w:szCs w:val="18"/>
        <w:lang w:val="en-GB"/>
      </w:rPr>
      <w:fldChar w:fldCharType="end"/>
    </w:r>
  </w:p>
  <w:p w14:paraId="77551F46" w14:textId="2046814B"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31982">
      <w:rPr>
        <w:noProof/>
        <w:sz w:val="18"/>
        <w:szCs w:val="18"/>
        <w:lang w:val="en-GB"/>
      </w:rPr>
      <w:t>c2</w:t>
    </w:r>
    <w:r w:rsidR="008152EF">
      <w:rPr>
        <w:noProof/>
        <w:sz w:val="18"/>
        <w:szCs w:val="18"/>
        <w:lang w:val="en-GB"/>
      </w:rPr>
      <w:t>_c</w:t>
    </w:r>
    <w:bookmarkStart w:id="18" w:name="_MON_1808030386"/>
    <w:bookmarkEnd w:id="18"/>
    <w:r w:rsidR="00361C9C" w:rsidRPr="00361C9C">
      <w:rPr>
        <w:noProof/>
        <w:snapToGrid/>
        <w:sz w:val="18"/>
        <w:szCs w:val="18"/>
        <w:lang w:val="en-GB"/>
      </w:rPr>
      <w:object w:dxaOrig="9467" w:dyaOrig="14096" w14:anchorId="4BDACC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473.3pt;height:705.6pt;mso-width-percent:0;mso-height-percent:0;mso-width-percent:0;mso-height-percent:0" o:ole="">
          <v:imagedata r:id="rId1" o:title=""/>
        </v:shape>
        <o:OLEObject Type="Embed" ProgID="Word.Document.12" ShapeID="_x0000_i1026" DrawAspect="Content" ObjectID="_1808566845" r:id="rId2">
          <o:FieldCodes>\s</o:FieldCodes>
        </o:OLEObject>
      </w:object>
    </w:r>
    <w:r w:rsidR="008152EF">
      <w:rPr>
        <w:noProof/>
        <w:sz w:val="18"/>
        <w:szCs w:val="18"/>
        <w:lang w:val="en-GB"/>
      </w:rPr>
      <w:t>ontractnotice_simp_</w:t>
    </w:r>
    <w:r w:rsidR="00831982">
      <w:rPr>
        <w:noProof/>
        <w:sz w:val="18"/>
        <w:szCs w:val="18"/>
        <w:lang w:val="en-GB"/>
      </w:rPr>
      <w:t>neg_</w:t>
    </w:r>
    <w:r w:rsidR="008152EF">
      <w:rPr>
        <w:noProof/>
        <w:sz w:val="18"/>
        <w:szCs w:val="18"/>
        <w:lang w:val="en-GB"/>
      </w:rPr>
      <w:t>en.doc</w:t>
    </w:r>
    <w:r w:rsidRPr="00B33EE6">
      <w:rPr>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7481F" w14:textId="77777777" w:rsidR="00711A01" w:rsidRDefault="00711A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DDDEAA" w14:textId="77777777" w:rsidR="006C543F" w:rsidRDefault="006C543F">
      <w:r>
        <w:separator/>
      </w:r>
    </w:p>
  </w:footnote>
  <w:footnote w:type="continuationSeparator" w:id="0">
    <w:p w14:paraId="067AB1BA" w14:textId="77777777" w:rsidR="006C543F" w:rsidRDefault="006C54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CD13E" w14:textId="77777777" w:rsidR="00711A01" w:rsidRDefault="00711A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53BDD5" w14:textId="77777777" w:rsidR="00711A01" w:rsidRDefault="00711A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898ED" w14:textId="77777777" w:rsidR="00711A01" w:rsidRDefault="00711A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BE758AC"/>
    <w:multiLevelType w:val="hybridMultilevel"/>
    <w:tmpl w:val="A920A29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6"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8"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31611901"/>
    <w:multiLevelType w:val="hybridMultilevel"/>
    <w:tmpl w:val="7DA837E4"/>
    <w:lvl w:ilvl="0" w:tplc="A484EEE6">
      <w:start w:val="1"/>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1"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3"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59D05816"/>
    <w:multiLevelType w:val="hybridMultilevel"/>
    <w:tmpl w:val="296C58E4"/>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7" w15:restartNumberingAfterBreak="0">
    <w:nsid w:val="5C377CED"/>
    <w:multiLevelType w:val="hybridMultilevel"/>
    <w:tmpl w:val="E8D6F5A0"/>
    <w:lvl w:ilvl="0" w:tplc="BAF28F90">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9" w15:restartNumberingAfterBreak="0">
    <w:nsid w:val="70721D82"/>
    <w:multiLevelType w:val="hybridMultilevel"/>
    <w:tmpl w:val="9DFA162E"/>
    <w:lvl w:ilvl="0" w:tplc="17441276">
      <w:start w:val="1"/>
      <w:numFmt w:val="decimal"/>
      <w:lvlText w:val="%1)"/>
      <w:lvlJc w:val="left"/>
      <w:pPr>
        <w:ind w:left="717" w:hanging="360"/>
      </w:pPr>
      <w:rPr>
        <w:rFonts w:hint="default"/>
        <w:b/>
        <w:u w:val="single"/>
      </w:rPr>
    </w:lvl>
    <w:lvl w:ilvl="1" w:tplc="080C0019" w:tentative="1">
      <w:start w:val="1"/>
      <w:numFmt w:val="lowerLetter"/>
      <w:lvlText w:val="%2."/>
      <w:lvlJc w:val="left"/>
      <w:pPr>
        <w:ind w:left="1437" w:hanging="360"/>
      </w:pPr>
    </w:lvl>
    <w:lvl w:ilvl="2" w:tplc="080C001B" w:tentative="1">
      <w:start w:val="1"/>
      <w:numFmt w:val="lowerRoman"/>
      <w:lvlText w:val="%3."/>
      <w:lvlJc w:val="right"/>
      <w:pPr>
        <w:ind w:left="2157" w:hanging="180"/>
      </w:pPr>
    </w:lvl>
    <w:lvl w:ilvl="3" w:tplc="080C000F" w:tentative="1">
      <w:start w:val="1"/>
      <w:numFmt w:val="decimal"/>
      <w:lvlText w:val="%4."/>
      <w:lvlJc w:val="left"/>
      <w:pPr>
        <w:ind w:left="2877" w:hanging="360"/>
      </w:pPr>
    </w:lvl>
    <w:lvl w:ilvl="4" w:tplc="080C0019" w:tentative="1">
      <w:start w:val="1"/>
      <w:numFmt w:val="lowerLetter"/>
      <w:lvlText w:val="%5."/>
      <w:lvlJc w:val="left"/>
      <w:pPr>
        <w:ind w:left="3597" w:hanging="360"/>
      </w:pPr>
    </w:lvl>
    <w:lvl w:ilvl="5" w:tplc="080C001B" w:tentative="1">
      <w:start w:val="1"/>
      <w:numFmt w:val="lowerRoman"/>
      <w:lvlText w:val="%6."/>
      <w:lvlJc w:val="right"/>
      <w:pPr>
        <w:ind w:left="4317" w:hanging="180"/>
      </w:pPr>
    </w:lvl>
    <w:lvl w:ilvl="6" w:tplc="080C000F" w:tentative="1">
      <w:start w:val="1"/>
      <w:numFmt w:val="decimal"/>
      <w:lvlText w:val="%7."/>
      <w:lvlJc w:val="left"/>
      <w:pPr>
        <w:ind w:left="5037" w:hanging="360"/>
      </w:pPr>
    </w:lvl>
    <w:lvl w:ilvl="7" w:tplc="080C0019" w:tentative="1">
      <w:start w:val="1"/>
      <w:numFmt w:val="lowerLetter"/>
      <w:lvlText w:val="%8."/>
      <w:lvlJc w:val="left"/>
      <w:pPr>
        <w:ind w:left="5757" w:hanging="360"/>
      </w:pPr>
    </w:lvl>
    <w:lvl w:ilvl="8" w:tplc="080C001B" w:tentative="1">
      <w:start w:val="1"/>
      <w:numFmt w:val="lowerRoman"/>
      <w:lvlText w:val="%9."/>
      <w:lvlJc w:val="right"/>
      <w:pPr>
        <w:ind w:left="6477" w:hanging="180"/>
      </w:pPr>
    </w:lvl>
  </w:abstractNum>
  <w:num w:numId="1" w16cid:durableId="757132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1199928741">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134808349">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51201587">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409618458">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2123108970">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209925421">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1290472087">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130569835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87742498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1948074209">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499078095">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1036152676">
    <w:abstractNumId w:val="17"/>
  </w:num>
  <w:num w:numId="14" w16cid:durableId="1645964972">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1111901812">
    <w:abstractNumId w:val="13"/>
  </w:num>
  <w:num w:numId="16" w16cid:durableId="1241408362">
    <w:abstractNumId w:val="15"/>
  </w:num>
  <w:num w:numId="17" w16cid:durableId="1210805181">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839684967">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1232471105">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322855944">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2023974332">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131879850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14738680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278806592">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42486198">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334960055">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254562043">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2037464440">
    <w:abstractNumId w:val="27"/>
  </w:num>
  <w:num w:numId="29" w16cid:durableId="504512450">
    <w:abstractNumId w:val="27"/>
  </w:num>
  <w:num w:numId="30" w16cid:durableId="1721438244">
    <w:abstractNumId w:val="27"/>
  </w:num>
  <w:num w:numId="31" w16cid:durableId="1092972909">
    <w:abstractNumId w:val="27"/>
  </w:num>
  <w:num w:numId="32" w16cid:durableId="620308547">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7492550">
    <w:abstractNumId w:val="37"/>
  </w:num>
  <w:num w:numId="34" w16cid:durableId="1409381486">
    <w:abstractNumId w:val="43"/>
  </w:num>
  <w:num w:numId="35" w16cid:durableId="766384759">
    <w:abstractNumId w:val="36"/>
  </w:num>
  <w:num w:numId="36" w16cid:durableId="1293436209">
    <w:abstractNumId w:val="33"/>
  </w:num>
  <w:num w:numId="37" w16cid:durableId="1384064040">
    <w:abstractNumId w:val="38"/>
  </w:num>
  <w:num w:numId="38" w16cid:durableId="1907257725">
    <w:abstractNumId w:val="41"/>
  </w:num>
  <w:num w:numId="39" w16cid:durableId="1107501711">
    <w:abstractNumId w:val="45"/>
  </w:num>
  <w:num w:numId="40" w16cid:durableId="757289410">
    <w:abstractNumId w:val="48"/>
  </w:num>
  <w:num w:numId="41" w16cid:durableId="983050432">
    <w:abstractNumId w:val="42"/>
  </w:num>
  <w:num w:numId="42" w16cid:durableId="1234700808">
    <w:abstractNumId w:val="44"/>
  </w:num>
  <w:num w:numId="43" w16cid:durableId="889338093">
    <w:abstractNumId w:val="39"/>
  </w:num>
  <w:num w:numId="44" w16cid:durableId="1649481199">
    <w:abstractNumId w:val="34"/>
  </w:num>
  <w:num w:numId="45" w16cid:durableId="2078897056">
    <w:abstractNumId w:val="49"/>
  </w:num>
  <w:num w:numId="46" w16cid:durableId="1955167928">
    <w:abstractNumId w:val="35"/>
  </w:num>
  <w:num w:numId="47" w16cid:durableId="990715876">
    <w:abstractNumId w:val="46"/>
  </w:num>
  <w:num w:numId="48" w16cid:durableId="499731473">
    <w:abstractNumId w:val="47"/>
  </w:num>
  <w:num w:numId="49" w16cid:durableId="988872989">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hu-HU"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2435"/>
    <w:rsid w:val="00006898"/>
    <w:rsid w:val="00012223"/>
    <w:rsid w:val="00012AF1"/>
    <w:rsid w:val="00013EB7"/>
    <w:rsid w:val="00013F0F"/>
    <w:rsid w:val="00014B76"/>
    <w:rsid w:val="00016694"/>
    <w:rsid w:val="0002004D"/>
    <w:rsid w:val="00022D5F"/>
    <w:rsid w:val="0003004C"/>
    <w:rsid w:val="00030910"/>
    <w:rsid w:val="000333FE"/>
    <w:rsid w:val="00051D1D"/>
    <w:rsid w:val="00063FB5"/>
    <w:rsid w:val="0007067C"/>
    <w:rsid w:val="00074A1F"/>
    <w:rsid w:val="00080900"/>
    <w:rsid w:val="00087A72"/>
    <w:rsid w:val="00095030"/>
    <w:rsid w:val="00097D94"/>
    <w:rsid w:val="000A0D57"/>
    <w:rsid w:val="000A0F75"/>
    <w:rsid w:val="000A3758"/>
    <w:rsid w:val="000B14E4"/>
    <w:rsid w:val="000B693E"/>
    <w:rsid w:val="000B7C91"/>
    <w:rsid w:val="000C1101"/>
    <w:rsid w:val="000C1522"/>
    <w:rsid w:val="000D1732"/>
    <w:rsid w:val="000D3EBF"/>
    <w:rsid w:val="000E4709"/>
    <w:rsid w:val="000F0F6C"/>
    <w:rsid w:val="000F1340"/>
    <w:rsid w:val="000F5DEF"/>
    <w:rsid w:val="0010162C"/>
    <w:rsid w:val="00105302"/>
    <w:rsid w:val="00106643"/>
    <w:rsid w:val="00126C35"/>
    <w:rsid w:val="0013314C"/>
    <w:rsid w:val="00136190"/>
    <w:rsid w:val="001429BC"/>
    <w:rsid w:val="0014405E"/>
    <w:rsid w:val="00144E49"/>
    <w:rsid w:val="00145CFA"/>
    <w:rsid w:val="00150687"/>
    <w:rsid w:val="00152201"/>
    <w:rsid w:val="001661F7"/>
    <w:rsid w:val="00171F2E"/>
    <w:rsid w:val="00180D47"/>
    <w:rsid w:val="00182F01"/>
    <w:rsid w:val="001903F3"/>
    <w:rsid w:val="001951FE"/>
    <w:rsid w:val="001A59BB"/>
    <w:rsid w:val="001A66C2"/>
    <w:rsid w:val="001B2571"/>
    <w:rsid w:val="001C21A2"/>
    <w:rsid w:val="001C64F1"/>
    <w:rsid w:val="001D19A6"/>
    <w:rsid w:val="001D55F7"/>
    <w:rsid w:val="001E50A2"/>
    <w:rsid w:val="001F0839"/>
    <w:rsid w:val="001F1546"/>
    <w:rsid w:val="001F780C"/>
    <w:rsid w:val="00200C7A"/>
    <w:rsid w:val="00201320"/>
    <w:rsid w:val="00205B01"/>
    <w:rsid w:val="00212656"/>
    <w:rsid w:val="00213E14"/>
    <w:rsid w:val="00215C7F"/>
    <w:rsid w:val="00216179"/>
    <w:rsid w:val="0022597A"/>
    <w:rsid w:val="00226829"/>
    <w:rsid w:val="00233B9D"/>
    <w:rsid w:val="00233DDA"/>
    <w:rsid w:val="00235A71"/>
    <w:rsid w:val="002413EA"/>
    <w:rsid w:val="00243849"/>
    <w:rsid w:val="00250A48"/>
    <w:rsid w:val="002575AA"/>
    <w:rsid w:val="00262465"/>
    <w:rsid w:val="00266EB9"/>
    <w:rsid w:val="00274FAF"/>
    <w:rsid w:val="002753AD"/>
    <w:rsid w:val="00295F63"/>
    <w:rsid w:val="002A6366"/>
    <w:rsid w:val="002B2145"/>
    <w:rsid w:val="002C1FBB"/>
    <w:rsid w:val="002D266E"/>
    <w:rsid w:val="002D4121"/>
    <w:rsid w:val="002E1B83"/>
    <w:rsid w:val="002E25ED"/>
    <w:rsid w:val="002E2635"/>
    <w:rsid w:val="002E7D33"/>
    <w:rsid w:val="002F4E69"/>
    <w:rsid w:val="003045C3"/>
    <w:rsid w:val="00313F6B"/>
    <w:rsid w:val="00322D52"/>
    <w:rsid w:val="003232ED"/>
    <w:rsid w:val="00323BDD"/>
    <w:rsid w:val="003262FC"/>
    <w:rsid w:val="00326B16"/>
    <w:rsid w:val="00330261"/>
    <w:rsid w:val="003378F6"/>
    <w:rsid w:val="00342E7F"/>
    <w:rsid w:val="00347673"/>
    <w:rsid w:val="00350AF8"/>
    <w:rsid w:val="00355921"/>
    <w:rsid w:val="003574F5"/>
    <w:rsid w:val="00357E25"/>
    <w:rsid w:val="00361C9C"/>
    <w:rsid w:val="00362824"/>
    <w:rsid w:val="00363ECB"/>
    <w:rsid w:val="00364564"/>
    <w:rsid w:val="003670BA"/>
    <w:rsid w:val="003717BC"/>
    <w:rsid w:val="003861D9"/>
    <w:rsid w:val="0038633F"/>
    <w:rsid w:val="00386E96"/>
    <w:rsid w:val="0038796E"/>
    <w:rsid w:val="0039147E"/>
    <w:rsid w:val="0039347D"/>
    <w:rsid w:val="003947E7"/>
    <w:rsid w:val="00397073"/>
    <w:rsid w:val="003A4357"/>
    <w:rsid w:val="003B1B35"/>
    <w:rsid w:val="003C1515"/>
    <w:rsid w:val="003D16FB"/>
    <w:rsid w:val="003D38D6"/>
    <w:rsid w:val="003D6CAD"/>
    <w:rsid w:val="003E782D"/>
    <w:rsid w:val="0040360C"/>
    <w:rsid w:val="004108A4"/>
    <w:rsid w:val="0041238F"/>
    <w:rsid w:val="004139B1"/>
    <w:rsid w:val="004208F3"/>
    <w:rsid w:val="00424124"/>
    <w:rsid w:val="004261F0"/>
    <w:rsid w:val="0043017C"/>
    <w:rsid w:val="0043533D"/>
    <w:rsid w:val="00441293"/>
    <w:rsid w:val="00443462"/>
    <w:rsid w:val="00452ED8"/>
    <w:rsid w:val="00453EAA"/>
    <w:rsid w:val="0045494F"/>
    <w:rsid w:val="004567DF"/>
    <w:rsid w:val="0045764D"/>
    <w:rsid w:val="00472630"/>
    <w:rsid w:val="00473883"/>
    <w:rsid w:val="00476D80"/>
    <w:rsid w:val="00480B5C"/>
    <w:rsid w:val="004850B4"/>
    <w:rsid w:val="004901C2"/>
    <w:rsid w:val="004957E5"/>
    <w:rsid w:val="004A3C67"/>
    <w:rsid w:val="004C21CC"/>
    <w:rsid w:val="004C49B2"/>
    <w:rsid w:val="004D031B"/>
    <w:rsid w:val="004D5EDB"/>
    <w:rsid w:val="004E083B"/>
    <w:rsid w:val="004E1482"/>
    <w:rsid w:val="004E69A4"/>
    <w:rsid w:val="004E6C3D"/>
    <w:rsid w:val="004F00C7"/>
    <w:rsid w:val="004F34C4"/>
    <w:rsid w:val="004F3661"/>
    <w:rsid w:val="004F3BBC"/>
    <w:rsid w:val="004F4A09"/>
    <w:rsid w:val="004F7E9D"/>
    <w:rsid w:val="00500794"/>
    <w:rsid w:val="00502217"/>
    <w:rsid w:val="00502BBF"/>
    <w:rsid w:val="00503CD9"/>
    <w:rsid w:val="005046CD"/>
    <w:rsid w:val="00505437"/>
    <w:rsid w:val="005070DB"/>
    <w:rsid w:val="00513F0F"/>
    <w:rsid w:val="00517ADA"/>
    <w:rsid w:val="00517F51"/>
    <w:rsid w:val="0054183B"/>
    <w:rsid w:val="005462B4"/>
    <w:rsid w:val="00551429"/>
    <w:rsid w:val="00553C32"/>
    <w:rsid w:val="0056183E"/>
    <w:rsid w:val="005635F3"/>
    <w:rsid w:val="005639EC"/>
    <w:rsid w:val="00565A69"/>
    <w:rsid w:val="00571687"/>
    <w:rsid w:val="00572F15"/>
    <w:rsid w:val="00573F7A"/>
    <w:rsid w:val="0058140B"/>
    <w:rsid w:val="00584BF4"/>
    <w:rsid w:val="00584D96"/>
    <w:rsid w:val="00590ADB"/>
    <w:rsid w:val="00593D00"/>
    <w:rsid w:val="005A21DC"/>
    <w:rsid w:val="005A4535"/>
    <w:rsid w:val="005B35A2"/>
    <w:rsid w:val="005B4F80"/>
    <w:rsid w:val="005B5E3C"/>
    <w:rsid w:val="005C71EF"/>
    <w:rsid w:val="005D41DD"/>
    <w:rsid w:val="005E2380"/>
    <w:rsid w:val="005F776D"/>
    <w:rsid w:val="0060359F"/>
    <w:rsid w:val="0061336A"/>
    <w:rsid w:val="006309DE"/>
    <w:rsid w:val="00632BDC"/>
    <w:rsid w:val="0064390B"/>
    <w:rsid w:val="00650FC0"/>
    <w:rsid w:val="00661DB0"/>
    <w:rsid w:val="00663C6D"/>
    <w:rsid w:val="006656AA"/>
    <w:rsid w:val="00666293"/>
    <w:rsid w:val="006714ED"/>
    <w:rsid w:val="006738B9"/>
    <w:rsid w:val="00674F9C"/>
    <w:rsid w:val="006751D2"/>
    <w:rsid w:val="006770CA"/>
    <w:rsid w:val="00686C3A"/>
    <w:rsid w:val="00697F4C"/>
    <w:rsid w:val="00697F82"/>
    <w:rsid w:val="006A0598"/>
    <w:rsid w:val="006A66DA"/>
    <w:rsid w:val="006A7394"/>
    <w:rsid w:val="006B0BD3"/>
    <w:rsid w:val="006B2EDA"/>
    <w:rsid w:val="006B59B9"/>
    <w:rsid w:val="006B5E5A"/>
    <w:rsid w:val="006B6C96"/>
    <w:rsid w:val="006C0EB6"/>
    <w:rsid w:val="006C0F37"/>
    <w:rsid w:val="006C2024"/>
    <w:rsid w:val="006C543F"/>
    <w:rsid w:val="006D330F"/>
    <w:rsid w:val="006D6080"/>
    <w:rsid w:val="006E3377"/>
    <w:rsid w:val="006E625F"/>
    <w:rsid w:val="006F2A90"/>
    <w:rsid w:val="006F5FD0"/>
    <w:rsid w:val="006F7885"/>
    <w:rsid w:val="007046C8"/>
    <w:rsid w:val="00706E7C"/>
    <w:rsid w:val="00710A38"/>
    <w:rsid w:val="00711A01"/>
    <w:rsid w:val="007121FB"/>
    <w:rsid w:val="007129D6"/>
    <w:rsid w:val="00712CB3"/>
    <w:rsid w:val="00715755"/>
    <w:rsid w:val="007168F2"/>
    <w:rsid w:val="00734C1F"/>
    <w:rsid w:val="007471C5"/>
    <w:rsid w:val="00750FF8"/>
    <w:rsid w:val="00753743"/>
    <w:rsid w:val="00753FC2"/>
    <w:rsid w:val="007559DE"/>
    <w:rsid w:val="00756C38"/>
    <w:rsid w:val="00761673"/>
    <w:rsid w:val="00761893"/>
    <w:rsid w:val="00762DB7"/>
    <w:rsid w:val="007653F4"/>
    <w:rsid w:val="00770822"/>
    <w:rsid w:val="00771F85"/>
    <w:rsid w:val="00771F97"/>
    <w:rsid w:val="007727F3"/>
    <w:rsid w:val="00780EAB"/>
    <w:rsid w:val="00781603"/>
    <w:rsid w:val="007874A0"/>
    <w:rsid w:val="007874C8"/>
    <w:rsid w:val="00794A92"/>
    <w:rsid w:val="00796976"/>
    <w:rsid w:val="00796CC5"/>
    <w:rsid w:val="007A04AC"/>
    <w:rsid w:val="007A4037"/>
    <w:rsid w:val="007A4E24"/>
    <w:rsid w:val="007C352C"/>
    <w:rsid w:val="007D51F2"/>
    <w:rsid w:val="007D6292"/>
    <w:rsid w:val="007D761E"/>
    <w:rsid w:val="007F095B"/>
    <w:rsid w:val="007F26E3"/>
    <w:rsid w:val="007F5383"/>
    <w:rsid w:val="007F6AA9"/>
    <w:rsid w:val="008006B4"/>
    <w:rsid w:val="00800751"/>
    <w:rsid w:val="00800827"/>
    <w:rsid w:val="00810582"/>
    <w:rsid w:val="00813A48"/>
    <w:rsid w:val="008152EF"/>
    <w:rsid w:val="008162F6"/>
    <w:rsid w:val="00817895"/>
    <w:rsid w:val="00817B4A"/>
    <w:rsid w:val="00824243"/>
    <w:rsid w:val="008272C0"/>
    <w:rsid w:val="00831982"/>
    <w:rsid w:val="008323D3"/>
    <w:rsid w:val="008351FF"/>
    <w:rsid w:val="00846F87"/>
    <w:rsid w:val="00850B68"/>
    <w:rsid w:val="00855A9A"/>
    <w:rsid w:val="00862885"/>
    <w:rsid w:val="008660AD"/>
    <w:rsid w:val="0087086B"/>
    <w:rsid w:val="0087216F"/>
    <w:rsid w:val="00881C2D"/>
    <w:rsid w:val="00886ED7"/>
    <w:rsid w:val="00894E29"/>
    <w:rsid w:val="00895DA4"/>
    <w:rsid w:val="0089693D"/>
    <w:rsid w:val="008A1184"/>
    <w:rsid w:val="008A1514"/>
    <w:rsid w:val="008A34F7"/>
    <w:rsid w:val="008A793A"/>
    <w:rsid w:val="008B0830"/>
    <w:rsid w:val="008B361F"/>
    <w:rsid w:val="008B77CD"/>
    <w:rsid w:val="008C3178"/>
    <w:rsid w:val="008C3E37"/>
    <w:rsid w:val="008C68A0"/>
    <w:rsid w:val="008D1243"/>
    <w:rsid w:val="008D3E45"/>
    <w:rsid w:val="008E2D12"/>
    <w:rsid w:val="008F294D"/>
    <w:rsid w:val="009017AA"/>
    <w:rsid w:val="009055F3"/>
    <w:rsid w:val="009066B6"/>
    <w:rsid w:val="00907556"/>
    <w:rsid w:val="00913817"/>
    <w:rsid w:val="00925F7F"/>
    <w:rsid w:val="009260B8"/>
    <w:rsid w:val="0092731B"/>
    <w:rsid w:val="009317C0"/>
    <w:rsid w:val="00932E5D"/>
    <w:rsid w:val="009352F4"/>
    <w:rsid w:val="00940E1D"/>
    <w:rsid w:val="009510CB"/>
    <w:rsid w:val="00952960"/>
    <w:rsid w:val="00954FB8"/>
    <w:rsid w:val="00956BA0"/>
    <w:rsid w:val="009707C4"/>
    <w:rsid w:val="00970A93"/>
    <w:rsid w:val="00970B01"/>
    <w:rsid w:val="00971962"/>
    <w:rsid w:val="00971CC5"/>
    <w:rsid w:val="0097338B"/>
    <w:rsid w:val="00980AEA"/>
    <w:rsid w:val="00986D3D"/>
    <w:rsid w:val="00991002"/>
    <w:rsid w:val="00994EA3"/>
    <w:rsid w:val="009A38DE"/>
    <w:rsid w:val="009B06B5"/>
    <w:rsid w:val="009B254A"/>
    <w:rsid w:val="009B5369"/>
    <w:rsid w:val="009B69BE"/>
    <w:rsid w:val="009C239E"/>
    <w:rsid w:val="009E5BC1"/>
    <w:rsid w:val="009E5C83"/>
    <w:rsid w:val="009F0852"/>
    <w:rsid w:val="009F128B"/>
    <w:rsid w:val="009F5FB4"/>
    <w:rsid w:val="00A00BD5"/>
    <w:rsid w:val="00A021B5"/>
    <w:rsid w:val="00A02E6B"/>
    <w:rsid w:val="00A03055"/>
    <w:rsid w:val="00A046E7"/>
    <w:rsid w:val="00A04B00"/>
    <w:rsid w:val="00A06FA5"/>
    <w:rsid w:val="00A11931"/>
    <w:rsid w:val="00A171EA"/>
    <w:rsid w:val="00A22177"/>
    <w:rsid w:val="00A236A4"/>
    <w:rsid w:val="00A3349D"/>
    <w:rsid w:val="00A35081"/>
    <w:rsid w:val="00A36F1C"/>
    <w:rsid w:val="00A433A6"/>
    <w:rsid w:val="00A43E7A"/>
    <w:rsid w:val="00A457BB"/>
    <w:rsid w:val="00A46ED3"/>
    <w:rsid w:val="00A504E1"/>
    <w:rsid w:val="00A666EC"/>
    <w:rsid w:val="00A7452E"/>
    <w:rsid w:val="00A779FE"/>
    <w:rsid w:val="00A77B07"/>
    <w:rsid w:val="00A84E04"/>
    <w:rsid w:val="00A85E8A"/>
    <w:rsid w:val="00A94ED6"/>
    <w:rsid w:val="00A97B08"/>
    <w:rsid w:val="00AA5256"/>
    <w:rsid w:val="00AA7850"/>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53E3"/>
    <w:rsid w:val="00B063F9"/>
    <w:rsid w:val="00B06D60"/>
    <w:rsid w:val="00B112A1"/>
    <w:rsid w:val="00B14398"/>
    <w:rsid w:val="00B17910"/>
    <w:rsid w:val="00B200AF"/>
    <w:rsid w:val="00B26055"/>
    <w:rsid w:val="00B26B88"/>
    <w:rsid w:val="00B27B8B"/>
    <w:rsid w:val="00B33EE6"/>
    <w:rsid w:val="00B37E87"/>
    <w:rsid w:val="00B43A33"/>
    <w:rsid w:val="00B46840"/>
    <w:rsid w:val="00B503CB"/>
    <w:rsid w:val="00B50F8D"/>
    <w:rsid w:val="00B515E7"/>
    <w:rsid w:val="00B60EC5"/>
    <w:rsid w:val="00B738A7"/>
    <w:rsid w:val="00B7586A"/>
    <w:rsid w:val="00B75FC8"/>
    <w:rsid w:val="00B766F9"/>
    <w:rsid w:val="00B769D8"/>
    <w:rsid w:val="00B805A5"/>
    <w:rsid w:val="00B83DA1"/>
    <w:rsid w:val="00B84AED"/>
    <w:rsid w:val="00B90EE0"/>
    <w:rsid w:val="00B92478"/>
    <w:rsid w:val="00B9793F"/>
    <w:rsid w:val="00BA0765"/>
    <w:rsid w:val="00BA44A3"/>
    <w:rsid w:val="00BA7C3E"/>
    <w:rsid w:val="00BB2689"/>
    <w:rsid w:val="00BC353E"/>
    <w:rsid w:val="00BC47C2"/>
    <w:rsid w:val="00BD65BA"/>
    <w:rsid w:val="00BD69EF"/>
    <w:rsid w:val="00BE08EC"/>
    <w:rsid w:val="00BE3544"/>
    <w:rsid w:val="00BE45B8"/>
    <w:rsid w:val="00BE595A"/>
    <w:rsid w:val="00BE5F29"/>
    <w:rsid w:val="00BE783C"/>
    <w:rsid w:val="00C00D44"/>
    <w:rsid w:val="00C03AF5"/>
    <w:rsid w:val="00C04FCE"/>
    <w:rsid w:val="00C067C5"/>
    <w:rsid w:val="00C0772E"/>
    <w:rsid w:val="00C147B2"/>
    <w:rsid w:val="00C15A17"/>
    <w:rsid w:val="00C171B6"/>
    <w:rsid w:val="00C2011B"/>
    <w:rsid w:val="00C2062A"/>
    <w:rsid w:val="00C30183"/>
    <w:rsid w:val="00C316FC"/>
    <w:rsid w:val="00C3644F"/>
    <w:rsid w:val="00C36666"/>
    <w:rsid w:val="00C43AAC"/>
    <w:rsid w:val="00C460D8"/>
    <w:rsid w:val="00C502B4"/>
    <w:rsid w:val="00C5249F"/>
    <w:rsid w:val="00C52B1A"/>
    <w:rsid w:val="00C61B8C"/>
    <w:rsid w:val="00C640E8"/>
    <w:rsid w:val="00C712DE"/>
    <w:rsid w:val="00C761C9"/>
    <w:rsid w:val="00C77EB2"/>
    <w:rsid w:val="00C836E5"/>
    <w:rsid w:val="00C83C65"/>
    <w:rsid w:val="00C840D0"/>
    <w:rsid w:val="00C843AC"/>
    <w:rsid w:val="00C867B9"/>
    <w:rsid w:val="00C94AA3"/>
    <w:rsid w:val="00CA2D2A"/>
    <w:rsid w:val="00CA3B1B"/>
    <w:rsid w:val="00CB23E3"/>
    <w:rsid w:val="00CB2A5B"/>
    <w:rsid w:val="00CB759D"/>
    <w:rsid w:val="00CB7AAE"/>
    <w:rsid w:val="00CC0A41"/>
    <w:rsid w:val="00CC3BA0"/>
    <w:rsid w:val="00CC48C9"/>
    <w:rsid w:val="00CD1FFB"/>
    <w:rsid w:val="00CD23E0"/>
    <w:rsid w:val="00CD765A"/>
    <w:rsid w:val="00CE49A1"/>
    <w:rsid w:val="00CF759C"/>
    <w:rsid w:val="00D00216"/>
    <w:rsid w:val="00D011CD"/>
    <w:rsid w:val="00D07899"/>
    <w:rsid w:val="00D14A9D"/>
    <w:rsid w:val="00D17A30"/>
    <w:rsid w:val="00D22190"/>
    <w:rsid w:val="00D225CC"/>
    <w:rsid w:val="00D22682"/>
    <w:rsid w:val="00D240C3"/>
    <w:rsid w:val="00D2786B"/>
    <w:rsid w:val="00D32849"/>
    <w:rsid w:val="00D33DD9"/>
    <w:rsid w:val="00D434A7"/>
    <w:rsid w:val="00D46724"/>
    <w:rsid w:val="00D50861"/>
    <w:rsid w:val="00D517A4"/>
    <w:rsid w:val="00D51C7E"/>
    <w:rsid w:val="00D549F4"/>
    <w:rsid w:val="00D56F03"/>
    <w:rsid w:val="00D64101"/>
    <w:rsid w:val="00D6772B"/>
    <w:rsid w:val="00D8540F"/>
    <w:rsid w:val="00D86E87"/>
    <w:rsid w:val="00D8773C"/>
    <w:rsid w:val="00D87D0A"/>
    <w:rsid w:val="00D93082"/>
    <w:rsid w:val="00D96788"/>
    <w:rsid w:val="00D96A43"/>
    <w:rsid w:val="00D97139"/>
    <w:rsid w:val="00DA0ABA"/>
    <w:rsid w:val="00DC0253"/>
    <w:rsid w:val="00DC4F70"/>
    <w:rsid w:val="00DC753D"/>
    <w:rsid w:val="00DD0CD4"/>
    <w:rsid w:val="00DD292F"/>
    <w:rsid w:val="00DE3C11"/>
    <w:rsid w:val="00DE65C7"/>
    <w:rsid w:val="00DF04F0"/>
    <w:rsid w:val="00E147D3"/>
    <w:rsid w:val="00E1782A"/>
    <w:rsid w:val="00E21BC3"/>
    <w:rsid w:val="00E23A94"/>
    <w:rsid w:val="00E30BB5"/>
    <w:rsid w:val="00E31447"/>
    <w:rsid w:val="00E34968"/>
    <w:rsid w:val="00E422A2"/>
    <w:rsid w:val="00E5220B"/>
    <w:rsid w:val="00E6172B"/>
    <w:rsid w:val="00E64CB9"/>
    <w:rsid w:val="00E669EC"/>
    <w:rsid w:val="00E66A55"/>
    <w:rsid w:val="00E713DA"/>
    <w:rsid w:val="00E813B7"/>
    <w:rsid w:val="00E81C0B"/>
    <w:rsid w:val="00E82874"/>
    <w:rsid w:val="00E845AC"/>
    <w:rsid w:val="00E862DF"/>
    <w:rsid w:val="00E867FC"/>
    <w:rsid w:val="00E9047D"/>
    <w:rsid w:val="00E97A06"/>
    <w:rsid w:val="00EA399C"/>
    <w:rsid w:val="00EA7B74"/>
    <w:rsid w:val="00EB4C19"/>
    <w:rsid w:val="00EC1215"/>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3C45"/>
    <w:rsid w:val="00F365CD"/>
    <w:rsid w:val="00F46873"/>
    <w:rsid w:val="00F4786D"/>
    <w:rsid w:val="00F504CC"/>
    <w:rsid w:val="00F50E8B"/>
    <w:rsid w:val="00F60220"/>
    <w:rsid w:val="00F6783F"/>
    <w:rsid w:val="00F76A8F"/>
    <w:rsid w:val="00F77C8A"/>
    <w:rsid w:val="00F86AAA"/>
    <w:rsid w:val="00F9055E"/>
    <w:rsid w:val="00F91683"/>
    <w:rsid w:val="00FA17FC"/>
    <w:rsid w:val="00FB17AC"/>
    <w:rsid w:val="00FB5C45"/>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2"/>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9B5369"/>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rPr>
  </w:style>
  <w:style w:type="character" w:customStyle="1" w:styleId="Heading4Char">
    <w:name w:val="Heading 4 Char"/>
    <w:link w:val="Heading4"/>
    <w:semiHidden/>
    <w:rsid w:val="009B5369"/>
    <w:rPr>
      <w:rFonts w:ascii="Calibri" w:eastAsia="Times New Roman" w:hAnsi="Calibri" w:cs="Times New Roman"/>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365009">
      <w:bodyDiv w:val="1"/>
      <w:marLeft w:val="0"/>
      <w:marRight w:val="0"/>
      <w:marTop w:val="0"/>
      <w:marBottom w:val="0"/>
      <w:divBdr>
        <w:top w:val="none" w:sz="0" w:space="0" w:color="auto"/>
        <w:left w:val="none" w:sz="0" w:space="0" w:color="auto"/>
        <w:bottom w:val="none" w:sz="0" w:space="0" w:color="auto"/>
        <w:right w:val="none" w:sz="0" w:space="0" w:color="auto"/>
      </w:divBdr>
      <w:divsChild>
        <w:div w:id="1924366279">
          <w:marLeft w:val="0"/>
          <w:marRight w:val="0"/>
          <w:marTop w:val="0"/>
          <w:marBottom w:val="0"/>
          <w:divBdr>
            <w:top w:val="none" w:sz="0" w:space="0" w:color="auto"/>
            <w:left w:val="none" w:sz="0" w:space="0" w:color="auto"/>
            <w:bottom w:val="none" w:sz="0" w:space="0" w:color="auto"/>
            <w:right w:val="none" w:sz="0" w:space="0" w:color="auto"/>
          </w:divBdr>
        </w:div>
        <w:div w:id="465978206">
          <w:marLeft w:val="0"/>
          <w:marRight w:val="0"/>
          <w:marTop w:val="0"/>
          <w:marBottom w:val="0"/>
          <w:divBdr>
            <w:top w:val="none" w:sz="0" w:space="0" w:color="auto"/>
            <w:left w:val="none" w:sz="0" w:space="0" w:color="auto"/>
            <w:bottom w:val="none" w:sz="0" w:space="0" w:color="auto"/>
            <w:right w:val="none" w:sz="0" w:space="0" w:color="auto"/>
          </w:divBdr>
        </w:div>
        <w:div w:id="14579413">
          <w:marLeft w:val="0"/>
          <w:marRight w:val="0"/>
          <w:marTop w:val="0"/>
          <w:marBottom w:val="0"/>
          <w:divBdr>
            <w:top w:val="none" w:sz="0" w:space="0" w:color="auto"/>
            <w:left w:val="none" w:sz="0" w:space="0" w:color="auto"/>
            <w:bottom w:val="none" w:sz="0" w:space="0" w:color="auto"/>
            <w:right w:val="none" w:sz="0" w:space="0" w:color="auto"/>
          </w:divBdr>
        </w:div>
      </w:divsChild>
    </w:div>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eli/reg/2021/1529" TargetMode="External"/><Relationship Id="rId18" Type="http://schemas.openxmlformats.org/officeDocument/2006/relationships/hyperlink" Target="http://ec.europa.eu/budget/graphs/inforeuro.htm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package" Target="embeddings/Microsoft_Word_Document.docx"/><Relationship Id="rId17" Type="http://schemas.openxmlformats.org/officeDocument/2006/relationships/hyperlink" Target="https://wikis.ec.europa.eu/display/ExactExternalWiki/Annexe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ur-lex.europa.eu/legal-content/EN/TXT/?uri=CELEX%3A32021R1059"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eur-lex.europa.eu/legal-content/EN/TXT/?uri=CELEX%3A32021R1060&amp;qid=1645018135461"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EN/TXT/?uri=CELEX:32018R1046"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package" Target="embeddings/Microsoft_Word_Document1.docx"/><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48550E-EEBB-446F-9E2B-3B1BA56091E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4A94BEF-1B98-4D51-8888-0CCC70EA25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CE9EBA-E46E-4F8B-A861-9EDF008D9940}">
  <ds:schemaRefs>
    <ds:schemaRef ds:uri="http://schemas.microsoft.com/sharepoint/v3/contenttype/forms"/>
  </ds:schemaRefs>
</ds:datastoreItem>
</file>

<file path=customXml/itemProps4.xml><?xml version="1.0" encoding="utf-8"?>
<ds:datastoreItem xmlns:ds="http://schemas.openxmlformats.org/officeDocument/2006/customXml" ds:itemID="{7FB5D33F-2919-4270-84A5-2127D23D6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441</TotalTime>
  <Pages>7</Pages>
  <Words>2493</Words>
  <Characters>14212</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16672</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Laszlo Vigi</cp:lastModifiedBy>
  <cp:revision>99</cp:revision>
  <cp:lastPrinted>2016-05-31T08:36:00Z</cp:lastPrinted>
  <dcterms:created xsi:type="dcterms:W3CDTF">2021-06-23T07:58:00Z</dcterms:created>
  <dcterms:modified xsi:type="dcterms:W3CDTF">2025-05-12T12:53:00Z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0x010100263B1F5D7841074CBE2E963D24797DAD</vt:lpwstr>
  </property>
</Properties>
</file>